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01C486" w14:textId="77777777" w:rsidR="00B038B9" w:rsidRPr="00A6350D" w:rsidRDefault="00B038B9" w:rsidP="00A04B44">
      <w:pPr>
        <w:pStyle w:val="Els-Author"/>
        <w:framePr w:w="9619" w:h="1080" w:hRule="exact" w:hSpace="187" w:vSpace="187" w:wrap="notBeside" w:vAnchor="text" w:hAnchor="page" w:x="1308" w:y="1278"/>
        <w:rPr>
          <w:lang w:eastAsia="zh-CN"/>
        </w:rPr>
      </w:pPr>
      <w:r w:rsidRPr="00A04B44">
        <w:rPr>
          <w:sz w:val="20"/>
          <w:szCs w:val="20"/>
        </w:rPr>
        <w:fldChar w:fldCharType="begin"/>
      </w:r>
      <w:r w:rsidRPr="00A04B44">
        <w:rPr>
          <w:sz w:val="20"/>
          <w:szCs w:val="20"/>
        </w:rPr>
        <w:instrText xml:space="preserve"> MACROBUTTON NoMacro First Author</w:instrText>
      </w:r>
      <w:r w:rsidRPr="00A04B44">
        <w:rPr>
          <w:sz w:val="20"/>
          <w:szCs w:val="20"/>
          <w:vertAlign w:val="superscript"/>
        </w:rPr>
        <w:instrText>a</w:instrText>
      </w:r>
      <w:r w:rsidRPr="00A04B44">
        <w:rPr>
          <w:sz w:val="20"/>
          <w:szCs w:val="20"/>
        </w:rPr>
        <w:instrText>, Second Author</w:instrText>
      </w:r>
      <w:r w:rsidRPr="00A04B44">
        <w:rPr>
          <w:sz w:val="20"/>
          <w:szCs w:val="20"/>
          <w:vertAlign w:val="superscript"/>
        </w:rPr>
        <w:instrText>b</w:instrText>
      </w:r>
      <w:r w:rsidRPr="00A04B44">
        <w:rPr>
          <w:sz w:val="20"/>
          <w:szCs w:val="20"/>
        </w:rPr>
        <w:instrText>, Third Author</w:instrText>
      </w:r>
      <w:r w:rsidRPr="00A04B44">
        <w:rPr>
          <w:sz w:val="20"/>
          <w:szCs w:val="20"/>
          <w:vertAlign w:val="superscript"/>
        </w:rPr>
        <w:instrText>a,b,</w:instrText>
      </w:r>
      <w:r w:rsidRPr="00A04B44">
        <w:rPr>
          <w:sz w:val="20"/>
          <w:szCs w:val="20"/>
        </w:rPr>
        <w:fldChar w:fldCharType="end"/>
      </w:r>
      <w:r w:rsidRPr="00A6350D">
        <w:t>*</w:t>
      </w:r>
    </w:p>
    <w:p w14:paraId="61DD4283" w14:textId="77777777" w:rsidR="00B038B9" w:rsidRPr="00B038B9" w:rsidRDefault="00B038B9" w:rsidP="00A04B44">
      <w:pPr>
        <w:pStyle w:val="Els-Affiliation"/>
        <w:framePr w:w="9619" w:h="1080" w:hRule="exact" w:hSpace="187" w:vSpace="187" w:wrap="notBeside" w:vAnchor="text" w:hAnchor="page" w:x="1308" w:y="1278"/>
        <w:spacing w:line="240" w:lineRule="auto"/>
      </w:pPr>
      <w:r w:rsidRPr="00A6350D">
        <w:fldChar w:fldCharType="begin"/>
      </w:r>
      <w:r w:rsidRPr="00A6350D">
        <w:instrText xml:space="preserve"> MACROBUTTON NoMacro </w:instrText>
      </w:r>
      <w:r w:rsidRPr="00A6350D">
        <w:rPr>
          <w:i w:val="0"/>
          <w:vertAlign w:val="superscript"/>
        </w:rPr>
        <w:instrText>a</w:instrText>
      </w:r>
      <w:r w:rsidRPr="00A6350D">
        <w:instrText>First affiliation, Address, City and Postcode, Country</w:instrText>
      </w:r>
      <w:r w:rsidRPr="00A6350D">
        <w:fldChar w:fldCharType="end"/>
      </w:r>
      <w:r>
        <w:br/>
      </w:r>
      <w:r w:rsidRPr="00A6350D">
        <w:fldChar w:fldCharType="begin"/>
      </w:r>
      <w:r w:rsidRPr="00A6350D">
        <w:instrText xml:space="preserve"> MACROBUTTON NoMacro </w:instrText>
      </w:r>
      <w:r w:rsidRPr="00A6350D">
        <w:rPr>
          <w:i w:val="0"/>
          <w:vertAlign w:val="superscript"/>
        </w:rPr>
        <w:instrText>b</w:instrText>
      </w:r>
      <w:r w:rsidRPr="00A6350D">
        <w:instrText>Second affiliation, Address, City and Postcode, Country</w:instrText>
      </w:r>
      <w:r w:rsidRPr="00A6350D">
        <w:fldChar w:fldCharType="end"/>
      </w:r>
    </w:p>
    <w:p w14:paraId="31FFD34B" w14:textId="3CFFD165" w:rsidR="00E97402" w:rsidRDefault="00E97402" w:rsidP="00B038B9">
      <w:pPr>
        <w:pStyle w:val="Text"/>
        <w:ind w:firstLine="0"/>
        <w:rPr>
          <w:sz w:val="18"/>
          <w:szCs w:val="18"/>
        </w:rPr>
      </w:pPr>
      <w:r>
        <w:rPr>
          <w:sz w:val="18"/>
          <w:szCs w:val="18"/>
        </w:rPr>
        <w:footnoteReference w:customMarkFollows="1" w:id="1"/>
        <w:sym w:font="Symbol" w:char="F020"/>
      </w:r>
    </w:p>
    <w:p w14:paraId="3E59BF22" w14:textId="77777777" w:rsidR="00243A9F" w:rsidRPr="00B038B9" w:rsidRDefault="00E97402" w:rsidP="00A04B44">
      <w:pPr>
        <w:pStyle w:val="Title"/>
        <w:framePr w:wrap="notBeside" w:y="-168"/>
        <w:rPr>
          <w:sz w:val="36"/>
          <w:szCs w:val="36"/>
        </w:rPr>
      </w:pPr>
      <w:r w:rsidRPr="00B038B9">
        <w:rPr>
          <w:sz w:val="36"/>
          <w:szCs w:val="36"/>
        </w:rPr>
        <w:t xml:space="preserve">Preparation of Papers for </w:t>
      </w:r>
      <w:r w:rsidR="00896E78" w:rsidRPr="00B038B9">
        <w:rPr>
          <w:sz w:val="36"/>
          <w:szCs w:val="36"/>
        </w:rPr>
        <w:t>IIS</w:t>
      </w:r>
      <w:r w:rsidRPr="00B038B9">
        <w:rPr>
          <w:sz w:val="36"/>
          <w:szCs w:val="36"/>
        </w:rPr>
        <w:t xml:space="preserve"> JOURNALS</w:t>
      </w:r>
    </w:p>
    <w:p w14:paraId="140661DB" w14:textId="77777777" w:rsidR="00E97402" w:rsidRPr="00B038B9" w:rsidRDefault="00E97402" w:rsidP="00A04B44">
      <w:pPr>
        <w:pStyle w:val="Title"/>
        <w:framePr w:wrap="notBeside" w:y="-168"/>
        <w:rPr>
          <w:sz w:val="36"/>
          <w:szCs w:val="36"/>
        </w:rPr>
      </w:pPr>
      <w:r w:rsidRPr="00B038B9">
        <w:rPr>
          <w:i/>
          <w:iCs/>
          <w:sz w:val="36"/>
          <w:szCs w:val="36"/>
        </w:rPr>
        <w:t xml:space="preserve"> </w:t>
      </w:r>
      <w:r w:rsidRPr="00B038B9">
        <w:rPr>
          <w:sz w:val="36"/>
          <w:szCs w:val="36"/>
        </w:rPr>
        <w:t>(</w:t>
      </w:r>
      <w:r w:rsidR="00896E78" w:rsidRPr="00B038B9">
        <w:rPr>
          <w:sz w:val="36"/>
          <w:szCs w:val="36"/>
        </w:rPr>
        <w:t>August 2026</w:t>
      </w:r>
      <w:r w:rsidRPr="00B038B9">
        <w:rPr>
          <w:sz w:val="36"/>
          <w:szCs w:val="36"/>
        </w:rPr>
        <w:t>)</w:t>
      </w:r>
    </w:p>
    <w:p w14:paraId="0CBD84DF" w14:textId="77777777" w:rsidR="00E97402" w:rsidRDefault="00E97402">
      <w:pPr>
        <w:pStyle w:val="Abstract"/>
      </w:pPr>
      <w:r>
        <w:rPr>
          <w:i/>
          <w:iCs/>
        </w:rPr>
        <w:t>Abstract</w:t>
      </w:r>
      <w:r>
        <w:t xml:space="preserve">—These instructions give you guidelines for preparing papers for </w:t>
      </w:r>
      <w:r w:rsidR="00896E78">
        <w:t>IISJ</w:t>
      </w:r>
      <w:r>
        <w:t xml:space="preserve"> T</w:t>
      </w:r>
      <w:r>
        <w:rPr>
          <w:sz w:val="16"/>
          <w:szCs w:val="16"/>
        </w:rPr>
        <w:t>RANSACTIONS</w:t>
      </w:r>
      <w:r>
        <w:t xml:space="preserve"> and J</w:t>
      </w:r>
      <w:r>
        <w:rPr>
          <w:sz w:val="16"/>
          <w:szCs w:val="16"/>
        </w:rPr>
        <w:t>OURNALS</w:t>
      </w:r>
      <w:r>
        <w:rPr>
          <w:i/>
          <w:iCs/>
        </w:rPr>
        <w:t>.</w:t>
      </w:r>
      <w:r>
        <w:t xml:space="preserve"> Use this document as a template if you are using Microsoft </w:t>
      </w:r>
      <w:r>
        <w:rPr>
          <w:i/>
          <w:iCs/>
        </w:rPr>
        <w:t>Word</w:t>
      </w:r>
      <w:r>
        <w:t xml:space="preserve"> 6.0 or later. Otherwise, use this document as an instruction set. The electronic file of your paper will be formatted further at </w:t>
      </w:r>
      <w:r w:rsidR="00896E78">
        <w:t>IISJ</w:t>
      </w:r>
      <w:r>
        <w:t>. Define all symbols used in the abstract. Do not cite references in the abstract. Do not delete the blank line immediately above the abstract; it sets the footnote at the bottom of this column.</w:t>
      </w:r>
    </w:p>
    <w:p w14:paraId="5D9F1FD3" w14:textId="77777777" w:rsidR="00E97402" w:rsidRDefault="00E97402"/>
    <w:p w14:paraId="3C94C010" w14:textId="77777777" w:rsidR="00E97402" w:rsidRDefault="00E97402">
      <w:pPr>
        <w:pStyle w:val="IndexTerms"/>
      </w:pPr>
      <w:bookmarkStart w:id="0" w:name="PointTmp"/>
      <w:r>
        <w:rPr>
          <w:i/>
          <w:iCs/>
        </w:rPr>
        <w:t>Index Terms</w:t>
      </w:r>
      <w:r>
        <w:t xml:space="preserve">—About four key words or phrases in alphabetical order, separated by commas. </w:t>
      </w:r>
      <w:r w:rsidR="007E62C6" w:rsidRPr="007E62C6">
        <w:t>Keywords are important word in paper  Example Weather Prediction, forecast accuracy</w:t>
      </w:r>
    </w:p>
    <w:p w14:paraId="3198FA8F" w14:textId="77777777" w:rsidR="00E97402" w:rsidRDefault="00E97402"/>
    <w:bookmarkEnd w:id="0"/>
    <w:p w14:paraId="54D10422" w14:textId="77777777" w:rsidR="00E97402" w:rsidRDefault="00E97402">
      <w:pPr>
        <w:pStyle w:val="Heading1"/>
      </w:pPr>
      <w:r>
        <w:t>I</w:t>
      </w:r>
      <w:r>
        <w:rPr>
          <w:sz w:val="16"/>
          <w:szCs w:val="16"/>
        </w:rPr>
        <w:t>NTRODUCTION</w:t>
      </w:r>
    </w:p>
    <w:p w14:paraId="7198716D" w14:textId="77777777" w:rsidR="00E97402" w:rsidRDefault="00E97402">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14:paraId="00446414" w14:textId="63355D87" w:rsidR="00E97402" w:rsidRDefault="00E97402">
      <w:pPr>
        <w:pStyle w:val="Text"/>
        <w:ind w:firstLine="0"/>
      </w:pPr>
      <w:r>
        <w:rPr>
          <w:smallCaps/>
        </w:rPr>
        <w:t>HIS</w:t>
      </w:r>
      <w:r>
        <w:t xml:space="preserve"> document is a template for Microsoft </w:t>
      </w:r>
      <w:r>
        <w:rPr>
          <w:i/>
          <w:iCs/>
        </w:rPr>
        <w:t>Word</w:t>
      </w:r>
      <w:r>
        <w:t xml:space="preserve"> versions 6.0 or later. If you are reading a paper </w:t>
      </w:r>
      <w:r w:rsidR="004C1E16">
        <w:t xml:space="preserve">or PDF </w:t>
      </w:r>
      <w:r>
        <w:t>version of this document, please download the electr</w:t>
      </w:r>
      <w:r>
        <w:t>onic file,</w:t>
      </w:r>
      <w:r>
        <w:br/>
        <w:t>TRANS-JOUR.DOC, from</w:t>
      </w:r>
      <w:r w:rsidR="004C1E16">
        <w:t xml:space="preserve"> the </w:t>
      </w:r>
      <w:r w:rsidR="00896E78">
        <w:t>IIS</w:t>
      </w:r>
      <w:r w:rsidR="00B038B9">
        <w:t xml:space="preserve"> </w:t>
      </w:r>
      <w:r w:rsidR="00896E78">
        <w:t>J</w:t>
      </w:r>
      <w:r w:rsidR="00B038B9">
        <w:t>ournal</w:t>
      </w:r>
      <w:r w:rsidR="004C1E16">
        <w:t xml:space="preserve"> Web site at</w:t>
      </w:r>
      <w:r>
        <w:t xml:space="preserve"> </w:t>
      </w:r>
      <w:r w:rsidR="00B038B9">
        <w:fldChar w:fldCharType="begin"/>
      </w:r>
      <w:r w:rsidR="00B038B9">
        <w:instrText>HYPERLINK "https://journal.iisglobal.org/"</w:instrText>
      </w:r>
      <w:r w:rsidR="00B038B9">
        <w:fldChar w:fldCharType="separate"/>
      </w:r>
      <w:r w:rsidR="00B038B9">
        <w:rPr>
          <w:rStyle w:val="Hyperlink"/>
        </w:rPr>
        <w:t>https://journal.iisglobal.org/</w:t>
      </w:r>
      <w:r w:rsidR="00B038B9">
        <w:fldChar w:fldCharType="end"/>
      </w:r>
      <w:r w:rsidR="00B038B9">
        <w:t xml:space="preserve"> </w:t>
      </w:r>
      <w:r w:rsidRPr="00B038B9">
        <w:t>so you</w:t>
      </w:r>
      <w:r>
        <w:t xml:space="preserve"> can use it to prepare your manuscript. </w:t>
      </w:r>
    </w:p>
    <w:p w14:paraId="5AC001F2" w14:textId="77777777" w:rsidR="00BD7199" w:rsidRDefault="00E97402" w:rsidP="00D775E5">
      <w:pPr>
        <w:pStyle w:val="Text"/>
      </w:pPr>
      <w:r>
        <w:t xml:space="preserve">When you open TRANS-JOUR.DOC, select “Page Layout” from the “View” menu in the menu bar (View | Page Layout), </w:t>
      </w:r>
      <w:r w:rsidR="007C4336">
        <w:br/>
      </w:r>
      <w:r w:rsidR="00621BFA">
        <w:t>w</w:t>
      </w:r>
      <w:r>
        <w:t xml:space="preserve">hich allows you to see the footnotes. Then, type over sections of TRANS-JOUR.DOC or cut and paste from another </w:t>
      </w:r>
    </w:p>
    <w:p w14:paraId="131780FA" w14:textId="77777777" w:rsidR="00E97402" w:rsidRDefault="00E97402" w:rsidP="00BD7199">
      <w:pPr>
        <w:pStyle w:val="Text"/>
        <w:ind w:firstLine="0"/>
      </w:pPr>
      <w:r>
        <w:t xml:space="preserve">document and use markup styles. The pull-down style menu is at the left of the Formatting Toolbar at the top of your </w:t>
      </w:r>
      <w:r>
        <w:rPr>
          <w:i/>
          <w:iCs/>
        </w:rPr>
        <w:t>Word</w:t>
      </w:r>
      <w:r>
        <w:t xml:space="preserve"> window (for example, the style at this point in the document is “Text”). Highlight a section that you want to designate with a certain style, then select the appropriate name on the style menu. The style will adjust your fonts and line spacing. </w:t>
      </w:r>
      <w:r>
        <w:rPr>
          <w:b/>
          <w:bCs/>
        </w:rPr>
        <w:t xml:space="preserve">Do not change the font sizes or line spacing to squeeze more text into a limited number of pages. </w:t>
      </w:r>
      <w:r>
        <w:t xml:space="preserve">Use italics for emphasis; do not underline. </w:t>
      </w:r>
    </w:p>
    <w:p w14:paraId="07BBB371" w14:textId="77777777" w:rsidR="00E97402" w:rsidRDefault="00E97402">
      <w:pPr>
        <w:pStyle w:val="Text"/>
      </w:pPr>
      <w:r>
        <w:t xml:space="preserve">To insert images in </w:t>
      </w:r>
      <w:r>
        <w:rPr>
          <w:i/>
          <w:iCs/>
        </w:rPr>
        <w:t>Word,</w:t>
      </w:r>
      <w:r>
        <w:t xml:space="preserve"> position the cursor at the insertion point and either use Insert | Picture | From File or copy the image to the Windows clipboard and then Edit | Paste Special | Picture (with “float over text” unchecked). </w:t>
      </w:r>
    </w:p>
    <w:p w14:paraId="638C4FF3" w14:textId="1945E2B4" w:rsidR="00F67D5F" w:rsidRDefault="00896E78" w:rsidP="00B038B9">
      <w:pPr>
        <w:pStyle w:val="Text"/>
      </w:pPr>
      <w:r>
        <w:t>IISJ</w:t>
      </w:r>
      <w:r w:rsidR="00E97402">
        <w:t xml:space="preserve"> will do the final formatting of your paper. </w:t>
      </w:r>
    </w:p>
    <w:p w14:paraId="18E3FC84" w14:textId="77777777" w:rsidR="00E97402" w:rsidRDefault="00E97402">
      <w:pPr>
        <w:pStyle w:val="Heading1"/>
      </w:pPr>
      <w:r>
        <w:t>Procedure for Paper Submission</w:t>
      </w:r>
    </w:p>
    <w:p w14:paraId="7D5B0241" w14:textId="77777777" w:rsidR="00E97402" w:rsidRDefault="00E97402">
      <w:pPr>
        <w:pStyle w:val="Heading2"/>
      </w:pPr>
      <w:r>
        <w:t>Review Stage</w:t>
      </w:r>
    </w:p>
    <w:p w14:paraId="2772818F" w14:textId="34BD1477" w:rsidR="00E97402" w:rsidRDefault="00E97402" w:rsidP="00E97402">
      <w:pPr>
        <w:pStyle w:val="Text"/>
      </w:pPr>
      <w:r>
        <w:t xml:space="preserve">Please </w:t>
      </w:r>
      <w:r w:rsidR="00243A9F">
        <w:t xml:space="preserve">go to </w:t>
      </w:r>
      <w:hyperlink r:id="rId7" w:history="1">
        <w:r w:rsidR="00B038B9" w:rsidRPr="00352E7B">
          <w:rPr>
            <w:rStyle w:val="Hyperlink"/>
          </w:rPr>
          <w:t>https://journal.iisglobal.org/</w:t>
        </w:r>
        <w:r w:rsidR="00B038B9" w:rsidRPr="00352E7B">
          <w:rPr>
            <w:rStyle w:val="Hyperlink"/>
          </w:rPr>
          <w:t>submit-paper</w:t>
        </w:r>
      </w:hyperlink>
      <w:r w:rsidR="00B038B9">
        <w:t xml:space="preserve"> </w:t>
      </w:r>
      <w:r w:rsidR="00243A9F">
        <w:t xml:space="preserve">to submit your manuscript.  Biographies are optional during the review </w:t>
      </w:r>
      <w:r w:rsidR="00B038B9">
        <w:t>stage,</w:t>
      </w:r>
      <w:r w:rsidR="00243A9F">
        <w:t xml:space="preserve"> but should your paper need to be revised, we will need ALL bios submitted with your revised paper.  All revised papers should include a copy of the revised paper UNDERLINED to show changes as well as a clean copy without the underlines.</w:t>
      </w:r>
    </w:p>
    <w:p w14:paraId="6EE10DDC" w14:textId="77777777" w:rsidR="00E97402" w:rsidRDefault="00E97402">
      <w:pPr>
        <w:pStyle w:val="Heading2"/>
      </w:pPr>
      <w:r>
        <w:t>Final Stage</w:t>
      </w:r>
    </w:p>
    <w:p w14:paraId="4ADD92A1" w14:textId="77777777" w:rsidR="00E80497" w:rsidRDefault="00E97402" w:rsidP="00D775E5">
      <w:pPr>
        <w:pStyle w:val="Text"/>
      </w:pPr>
      <w:r>
        <w:t>When you submit your final version (after your paper has been accepted), print it in two-column format, including figures and tables.</w:t>
      </w:r>
      <w:r w:rsidR="00E50DF6">
        <w:t xml:space="preserve"> </w:t>
      </w:r>
      <w:r>
        <w:t xml:space="preserve">Also, </w:t>
      </w:r>
      <w:r w:rsidR="00243A9F">
        <w:t>a</w:t>
      </w:r>
      <w:r>
        <w:t xml:space="preserve"> complete </w:t>
      </w:r>
      <w:r w:rsidR="00243A9F">
        <w:t xml:space="preserve">list of </w:t>
      </w:r>
      <w:r>
        <w:t>contact information for all authors</w:t>
      </w:r>
      <w:r w:rsidR="00243A9F">
        <w:t xml:space="preserve"> should be included</w:t>
      </w:r>
      <w:r>
        <w:t>. Include full mailing addresses, telephone numbers, fax numbers, and e-mail addresses. This information will be used to send each author a complimentary copy of the journal in which the paper appears. In addition, designate one author as the “corresponding author.” This is the author to whom proofs of the paper will be sent. Proofs are sent to the corresponding author only.</w:t>
      </w:r>
    </w:p>
    <w:p w14:paraId="314EFEEF" w14:textId="77777777" w:rsidR="00E97402" w:rsidRDefault="00E97402">
      <w:pPr>
        <w:pStyle w:val="Heading2"/>
      </w:pPr>
      <w:r>
        <w:lastRenderedPageBreak/>
        <w:t>Figures</w:t>
      </w:r>
    </w:p>
    <w:p w14:paraId="3E96E580" w14:textId="77777777" w:rsidR="00932BEC" w:rsidRDefault="00E97402" w:rsidP="00E97402">
      <w:pPr>
        <w:pStyle w:val="Text"/>
      </w:pPr>
      <w:r>
        <w:t xml:space="preserve">Format and save your graphic images using a suitable graphics processing program that will allow you to create the images as PostScript (PS), Encapsulated PostScript (EPS), or Tagged Image File Format (TIFF), sizes them, and adjusts the </w:t>
      </w:r>
    </w:p>
    <w:p w14:paraId="3DEF2EB3" w14:textId="77777777" w:rsidR="008672A6" w:rsidRDefault="00E97402" w:rsidP="00E80497">
      <w:pPr>
        <w:pStyle w:val="Text"/>
        <w:ind w:firstLine="0"/>
      </w:pPr>
      <w:r>
        <w:t xml:space="preserve">resolution settings. If you created your source files in one of the following you will be able to submit the graphics without </w:t>
      </w:r>
    </w:p>
    <w:p w14:paraId="1BDF62A5" w14:textId="77777777" w:rsidR="00E97402" w:rsidRDefault="00E97402" w:rsidP="00E80497">
      <w:pPr>
        <w:pStyle w:val="Text"/>
        <w:ind w:firstLine="0"/>
      </w:pPr>
      <w:r>
        <w:t xml:space="preserve">converting to a PS, EPS, or TIFF file: Microsoft Word, Microsoft PowerPoint, Microsoft Excel, or Portable Document Format (PDF). </w:t>
      </w:r>
    </w:p>
    <w:p w14:paraId="63D810B5" w14:textId="77777777" w:rsidR="00E97402" w:rsidRDefault="00E97402">
      <w:pPr>
        <w:pStyle w:val="Text"/>
      </w:pPr>
    </w:p>
    <w:p w14:paraId="7305D581" w14:textId="77777777" w:rsidR="00E97402" w:rsidRDefault="00E97402">
      <w:pPr>
        <w:pStyle w:val="Heading2"/>
      </w:pPr>
      <w:r>
        <w:t>Electronic Image Files (Optional)</w:t>
      </w:r>
    </w:p>
    <w:p w14:paraId="41DCA954" w14:textId="77777777" w:rsidR="00E80497" w:rsidRDefault="00E80497" w:rsidP="00E97402">
      <w:pPr>
        <w:pStyle w:val="Text"/>
        <w:rPr>
          <w:i/>
        </w:rPr>
      </w:pPr>
    </w:p>
    <w:p w14:paraId="6F799BAD" w14:textId="6B211731" w:rsidR="008672A6" w:rsidRDefault="00E97402" w:rsidP="00A04B44">
      <w:pPr>
        <w:pStyle w:val="Text"/>
      </w:pPr>
      <w:r>
        <w:rPr>
          <w:i/>
        </w:rPr>
        <w:t xml:space="preserve"> </w:t>
      </w:r>
      <w:r>
        <w:t>Import your source files in one of the following: Microsoft Word, Microsoft PowerPoint, Microsoft Excel, or Portable Document Format (PDF); you will be able to submit the graphics without converting to a PS, EPS, or TIFF files. Image quality is very important to how yours graphics will reproduce. Even though we can accept graphics in many formats, we cannot improve your graphics if they are poor quality when we receive them. If your graphic looks low in quality on your printer or monitor, please keep in mind that cannot improve the quality after submission.</w:t>
      </w:r>
    </w:p>
    <w:p w14:paraId="2756395B" w14:textId="77777777" w:rsidR="008672A6" w:rsidRDefault="008672A6">
      <w:pPr>
        <w:pStyle w:val="Text"/>
      </w:pPr>
    </w:p>
    <w:p w14:paraId="31E31520" w14:textId="77777777" w:rsidR="00E97402" w:rsidRDefault="00E97402">
      <w:pPr>
        <w:pStyle w:val="Text"/>
      </w:pPr>
      <w:r>
        <w:t>If you are importing your graphics into this Word template, please use the following steps:</w:t>
      </w:r>
    </w:p>
    <w:p w14:paraId="6FAE47E3" w14:textId="77777777" w:rsidR="00E97402" w:rsidRDefault="00E97402">
      <w:pPr>
        <w:pStyle w:val="Text"/>
      </w:pPr>
      <w:r>
        <w:t xml:space="preserve">Under the option EDIT select PASTE SPECIAL. A dialog </w:t>
      </w:r>
      <w:r w:rsidR="00E41DCB">
        <w:t xml:space="preserve"> </w:t>
      </w:r>
      <w:r>
        <w:t>box will open, select paste picture, then click OK. Your figure should now be in the Word Document.</w:t>
      </w:r>
    </w:p>
    <w:p w14:paraId="0C08B273" w14:textId="77777777" w:rsidR="00E97402" w:rsidRDefault="00E97402">
      <w:pPr>
        <w:pStyle w:val="Text"/>
      </w:pPr>
      <w:r>
        <w:t xml:space="preserve">If you are preparing images in TIFF, EPS, or PS format, note the following. High-contrast line figures and tables should be prepared with 600 dpi resolution and saved with no compression, 1 bit per pixel (monochrome), with file names in the form of “fig3.tif” or “table1.tif.” </w:t>
      </w:r>
    </w:p>
    <w:p w14:paraId="126367A7" w14:textId="6F8392A2" w:rsidR="00DF2DDE" w:rsidRDefault="00E97402" w:rsidP="00A04B44">
      <w:pPr>
        <w:pStyle w:val="Text"/>
      </w:pPr>
      <w:r>
        <w:t xml:space="preserve">Photographs and grayscale figures should be prepared with 300 dpi resolution and saved with no compression, 8 bits per pixel (grayscale). </w:t>
      </w:r>
    </w:p>
    <w:p w14:paraId="0A8C1CC1" w14:textId="77777777" w:rsidR="00E97402" w:rsidRDefault="00E97402">
      <w:pPr>
        <w:rPr>
          <w:color w:val="000000"/>
        </w:rPr>
      </w:pPr>
    </w:p>
    <w:p w14:paraId="3C37DC99" w14:textId="77777777" w:rsidR="00E97402" w:rsidRPr="00810062" w:rsidRDefault="00E97402">
      <w:pPr>
        <w:rPr>
          <w:i/>
          <w:color w:val="000000"/>
        </w:rPr>
      </w:pPr>
      <w:r w:rsidRPr="00810062">
        <w:rPr>
          <w:i/>
          <w:color w:val="000000"/>
        </w:rPr>
        <w:t>Sizing of Graphics</w:t>
      </w:r>
    </w:p>
    <w:p w14:paraId="4616B42C" w14:textId="77777777" w:rsidR="00E97402" w:rsidRDefault="00E97402" w:rsidP="00E97402">
      <w:pPr>
        <w:pStyle w:val="Text"/>
      </w:pPr>
      <w:r>
        <w:t xml:space="preserve">Most charts graphs and tables are one column wide (3 1/2 inches or 21 picas) or two-column width (7 1/16 inches, 43 picas wide). We recommend that you avoid sizing figures less than one column wide, as extreme enlargements may distort your images and result in poor reproduction. Therefore, it is better if the image is slightly larger, as a minor reduction in size should not have an adverse affect the quality of the image. </w:t>
      </w:r>
    </w:p>
    <w:p w14:paraId="700AC69C" w14:textId="77777777" w:rsidR="00E97402" w:rsidRDefault="00E97402">
      <w:pPr>
        <w:rPr>
          <w:color w:val="000000"/>
        </w:rPr>
      </w:pPr>
    </w:p>
    <w:p w14:paraId="68724B93" w14:textId="77777777" w:rsidR="00E97402" w:rsidRPr="00BF3B02" w:rsidRDefault="00E97402">
      <w:pPr>
        <w:rPr>
          <w:i/>
          <w:color w:val="000000"/>
        </w:rPr>
      </w:pPr>
      <w:r w:rsidRPr="00BF3B02">
        <w:rPr>
          <w:i/>
          <w:color w:val="000000"/>
        </w:rPr>
        <w:t>Size of Author Photographs</w:t>
      </w:r>
    </w:p>
    <w:p w14:paraId="03CA3ED1" w14:textId="77777777" w:rsidR="00E97402" w:rsidRDefault="00E97402" w:rsidP="00E97402">
      <w:pPr>
        <w:pStyle w:val="Text"/>
      </w:pPr>
      <w:r>
        <w:rPr>
          <w:color w:val="000000"/>
        </w:rPr>
        <w:t>The final printed size of an author photograph is exactly</w:t>
      </w:r>
      <w:r>
        <w:rPr>
          <w:color w:val="000000"/>
        </w:rPr>
        <w:br/>
        <w:t>1 inch wide by 1 1/4 inches long (6 picas × 7 1/2 picas). Please ensure that the author photographs you submit are proportioned similarly. If the author’s photograph does not appear at the end of the paper, then please size it so that it is proportional to the standard size of 1 9/16 inches wide by</w:t>
      </w:r>
      <w:r>
        <w:rPr>
          <w:color w:val="000000"/>
        </w:rPr>
        <w:br/>
        <w:t>2 inches long (9 1/2 picas × 12 picas). JPEG files are only accepted for author photos.</w:t>
      </w:r>
    </w:p>
    <w:p w14:paraId="00D8876F" w14:textId="77777777" w:rsidR="00E97402" w:rsidRDefault="00E97402">
      <w:pPr>
        <w:pStyle w:val="Text"/>
        <w:ind w:firstLine="0"/>
        <w:rPr>
          <w:i/>
        </w:rPr>
      </w:pPr>
    </w:p>
    <w:p w14:paraId="0DD066F3" w14:textId="77777777" w:rsidR="00E97402" w:rsidRDefault="00E97402">
      <w:pPr>
        <w:pStyle w:val="Text"/>
        <w:ind w:firstLine="0"/>
      </w:pPr>
      <w:r>
        <w:rPr>
          <w:i/>
        </w:rPr>
        <w:t xml:space="preserve">How to create a </w:t>
      </w:r>
      <w:r w:rsidRPr="00B80D07">
        <w:rPr>
          <w:i/>
        </w:rPr>
        <w:t>PostScript File</w:t>
      </w:r>
      <w:r>
        <w:t xml:space="preserve"> </w:t>
      </w:r>
    </w:p>
    <w:p w14:paraId="0F0A1F8B" w14:textId="77777777" w:rsidR="00E97402" w:rsidRDefault="00E97402" w:rsidP="00E97402">
      <w:pPr>
        <w:pStyle w:val="Text"/>
      </w:pPr>
      <w:r>
        <w:t xml:space="preserve">First, download a PostScript printer driver from </w:t>
      </w:r>
      <w:hyperlink r:id="rId8" w:history="1">
        <w:r>
          <w:rPr>
            <w:rStyle w:val="Hyperlink"/>
          </w:rPr>
          <w:t>http://www.adobe.com/support/downloads/</w:t>
        </w:r>
        <w:r>
          <w:rPr>
            <w:rStyle w:val="Hyperlink"/>
          </w:rPr>
          <w:t>p</w:t>
        </w:r>
        <w:r>
          <w:rPr>
            <w:rStyle w:val="Hyperlink"/>
          </w:rPr>
          <w:t>dr</w:t>
        </w:r>
        <w:r>
          <w:rPr>
            <w:rStyle w:val="Hyperlink"/>
          </w:rPr>
          <w:t>v</w:t>
        </w:r>
        <w:r>
          <w:rPr>
            <w:rStyle w:val="Hyperlink"/>
          </w:rPr>
          <w:t>win.htm</w:t>
        </w:r>
      </w:hyperlink>
      <w:r>
        <w:t xml:space="preserve"> (for Windows) or from </w:t>
      </w:r>
      <w:hyperlink r:id="rId9" w:history="1">
        <w:r>
          <w:rPr>
            <w:rStyle w:val="Hyperlink"/>
          </w:rPr>
          <w:t>http://w</w:t>
        </w:r>
        <w:r>
          <w:rPr>
            <w:rStyle w:val="Hyperlink"/>
          </w:rPr>
          <w:t>w</w:t>
        </w:r>
        <w:r>
          <w:rPr>
            <w:rStyle w:val="Hyperlink"/>
          </w:rPr>
          <w:t>w.adobe.com/support/down</w:t>
        </w:r>
        <w:r>
          <w:rPr>
            <w:rStyle w:val="Hyperlink"/>
          </w:rPr>
          <w:t>l</w:t>
        </w:r>
        <w:r>
          <w:rPr>
            <w:rStyle w:val="Hyperlink"/>
          </w:rPr>
          <w:t>oads/ pdrvmac.htm</w:t>
        </w:r>
      </w:hyperlink>
      <w:r>
        <w:t xml:space="preserve"> (for Macintosh) and install the “Generic PostScript Printer” definition. In </w:t>
      </w:r>
      <w:r>
        <w:rPr>
          <w:i/>
        </w:rPr>
        <w:t>Word,</w:t>
      </w:r>
      <w:r>
        <w:t xml:space="preserve"> paste your figure into a new document. Print to a file using the PostScript printer driver. File names should be of the form “fig5.ps.” Use Open Type fonts when creating your figures, if possible. A listing of the acceptable fonts are as follows: Open Type Fonts: Times Roman, Helvetica, Helvetica Narrow, Courier, Symbol, Palatino, Avant Garde, Bookman, Zapf Chancery, Zapf Dingbats, and New Century Schoolbook.</w:t>
      </w:r>
    </w:p>
    <w:p w14:paraId="1268DD5F" w14:textId="77777777" w:rsidR="00E97402" w:rsidRDefault="00E97402" w:rsidP="00E97402">
      <w:pPr>
        <w:pStyle w:val="Text"/>
      </w:pPr>
    </w:p>
    <w:p w14:paraId="5C013461" w14:textId="77777777" w:rsidR="00E97402" w:rsidRPr="00426966" w:rsidRDefault="00E97402">
      <w:pPr>
        <w:pStyle w:val="Pa0"/>
        <w:rPr>
          <w:rFonts w:ascii="Times New Roman" w:hAnsi="Times New Roman"/>
          <w:sz w:val="20"/>
          <w:szCs w:val="20"/>
        </w:rPr>
      </w:pPr>
      <w:r w:rsidRPr="00426966">
        <w:rPr>
          <w:rStyle w:val="A5"/>
          <w:rFonts w:ascii="Times New Roman" w:hAnsi="Times New Roman"/>
          <w:i/>
          <w:color w:val="auto"/>
        </w:rPr>
        <w:t>Print Color Graphics Requirements</w:t>
      </w:r>
    </w:p>
    <w:p w14:paraId="35434B89" w14:textId="77777777" w:rsidR="00E97402" w:rsidRPr="00426966" w:rsidRDefault="00896E78" w:rsidP="00E97402">
      <w:pPr>
        <w:pStyle w:val="Text"/>
      </w:pPr>
      <w:r>
        <w:rPr>
          <w:rStyle w:val="A5"/>
          <w:color w:val="211D1E"/>
        </w:rPr>
        <w:t>IISJ</w:t>
      </w:r>
      <w:r w:rsidR="00E97402" w:rsidRPr="00426966">
        <w:rPr>
          <w:rStyle w:val="A5"/>
          <w:color w:val="211D1E"/>
        </w:rPr>
        <w:t xml:space="preserve"> accepts color graphics in the following formats: EPS, PS, TIFF, Word, PowerPoint, Excel, and PDF. The resolution of a RGB color TIFF file should be 400 dpi. </w:t>
      </w:r>
    </w:p>
    <w:p w14:paraId="71B5A447" w14:textId="77777777" w:rsidR="00E97402" w:rsidRPr="00426966" w:rsidRDefault="00E97402" w:rsidP="00E97402">
      <w:pPr>
        <w:pStyle w:val="Text"/>
      </w:pPr>
      <w:r w:rsidRPr="00426966">
        <w:rPr>
          <w:rStyle w:val="A5"/>
          <w:color w:val="211D1E"/>
        </w:rPr>
        <w:t xml:space="preserve">When </w:t>
      </w:r>
      <w:r w:rsidR="00E50DF6">
        <w:rPr>
          <w:rStyle w:val="A5"/>
          <w:color w:val="211D1E"/>
        </w:rPr>
        <w:t>sending</w:t>
      </w:r>
      <w:r w:rsidRPr="00426966">
        <w:rPr>
          <w:rStyle w:val="A5"/>
          <w:color w:val="211D1E"/>
        </w:rPr>
        <w:t xml:space="preserve"> color graphics, please supply a high quality hard copy or PDF proof of each image. If we cannot achieve a satisfactory color match using the electronic version of your files, we will have your hard copy scanned. Any of the files types you provide will be converted to RGB color EPS files. </w:t>
      </w:r>
    </w:p>
    <w:p w14:paraId="606C2C01" w14:textId="77777777" w:rsidR="00E97402" w:rsidRDefault="00E97402" w:rsidP="00E97402">
      <w:pPr>
        <w:pStyle w:val="Text"/>
      </w:pPr>
    </w:p>
    <w:p w14:paraId="30E11814" w14:textId="77777777" w:rsidR="00E97402" w:rsidRPr="00426966" w:rsidRDefault="00E97402">
      <w:pPr>
        <w:pStyle w:val="Pa0"/>
        <w:rPr>
          <w:rFonts w:ascii="Times New Roman" w:hAnsi="Times New Roman"/>
          <w:sz w:val="20"/>
          <w:szCs w:val="20"/>
        </w:rPr>
      </w:pPr>
      <w:r w:rsidRPr="00426966">
        <w:rPr>
          <w:rStyle w:val="A5"/>
          <w:rFonts w:ascii="Times New Roman" w:hAnsi="Times New Roman"/>
          <w:i/>
          <w:color w:val="auto"/>
        </w:rPr>
        <w:t>Web Color Graphics</w:t>
      </w:r>
    </w:p>
    <w:p w14:paraId="46657874" w14:textId="77777777" w:rsidR="00E97402" w:rsidRPr="00426966" w:rsidRDefault="00896E78" w:rsidP="00E97402">
      <w:pPr>
        <w:pStyle w:val="Text"/>
      </w:pPr>
      <w:r>
        <w:rPr>
          <w:rStyle w:val="A5"/>
          <w:color w:val="auto"/>
        </w:rPr>
        <w:t>IISJ</w:t>
      </w:r>
      <w:r w:rsidR="00E97402" w:rsidRPr="00426966">
        <w:rPr>
          <w:rStyle w:val="A5"/>
          <w:color w:val="auto"/>
        </w:rPr>
        <w:t xml:space="preserve"> accepts color graphics in the following formats: EPS, PS, TIFF, Word, PowerPoint, Excel, and PDF. The resolution of a RGB color TIFF file should </w:t>
      </w:r>
      <w:r w:rsidR="00E97402" w:rsidRPr="00426966">
        <w:t>be</w:t>
      </w:r>
      <w:r w:rsidR="00E97402" w:rsidRPr="00426966">
        <w:rPr>
          <w:rStyle w:val="A5"/>
          <w:color w:val="auto"/>
        </w:rPr>
        <w:t xml:space="preserve"> at least 400 dpi. </w:t>
      </w:r>
    </w:p>
    <w:p w14:paraId="3DCAD507" w14:textId="77777777" w:rsidR="00E97402" w:rsidRDefault="00E97402" w:rsidP="00E97402">
      <w:pPr>
        <w:pStyle w:val="Text"/>
      </w:pPr>
      <w:r w:rsidRPr="00426966">
        <w:rPr>
          <w:rStyle w:val="A5"/>
          <w:color w:val="211D1E"/>
        </w:rPr>
        <w:t>Your color graphic will be converted to</w:t>
      </w:r>
      <w:r w:rsidR="00DF2DDE">
        <w:rPr>
          <w:rStyle w:val="A5"/>
          <w:color w:val="211D1E"/>
        </w:rPr>
        <w:t xml:space="preserve"> </w:t>
      </w:r>
      <w:r w:rsidRPr="00426966">
        <w:rPr>
          <w:rStyle w:val="A5"/>
          <w:color w:val="211D1E"/>
        </w:rPr>
        <w:t xml:space="preserve">grayscale if no separate grayscale file is provided. If a graphic is to appear in print as black and white, it should be saved and submitted as a black and white file. If a graphic is to appear in print or on </w:t>
      </w:r>
      <w:r w:rsidR="00896E78">
        <w:rPr>
          <w:rStyle w:val="A5"/>
          <w:color w:val="211D1E"/>
        </w:rPr>
        <w:t>IISJ</w:t>
      </w:r>
      <w:r w:rsidRPr="00426966">
        <w:rPr>
          <w:rStyle w:val="A5"/>
          <w:color w:val="211D1E"/>
        </w:rPr>
        <w:t xml:space="preserve"> Xplore in color, it should be submitted as RGB color. </w:t>
      </w:r>
    </w:p>
    <w:p w14:paraId="295B540C" w14:textId="77777777" w:rsidR="00E97402" w:rsidRPr="00426966" w:rsidRDefault="00E97402" w:rsidP="00E97402">
      <w:pPr>
        <w:pStyle w:val="Text"/>
        <w:rPr>
          <w:i/>
        </w:rPr>
      </w:pPr>
      <w:r>
        <w:br/>
      </w:r>
      <w:r w:rsidRPr="00426966">
        <w:rPr>
          <w:i/>
        </w:rPr>
        <w:t>Graphics Checker Tool</w:t>
      </w:r>
    </w:p>
    <w:p w14:paraId="2ACCDA58" w14:textId="2C664991" w:rsidR="00E97402" w:rsidRDefault="00E97402" w:rsidP="00A04B44">
      <w:pPr>
        <w:pStyle w:val="Text"/>
      </w:pPr>
      <w:r w:rsidRPr="00A77A47">
        <w:t>The</w:t>
      </w:r>
      <w:r w:rsidR="00A77A47" w:rsidRPr="00A77A47">
        <w:t xml:space="preserve"> IISJ does not currently provide an automated Graphics Checker Tool. Authors are therefore responsible for manually verifying all figures and graphic files before submission against the requirements stated above, including the accepted file formats, minimum resolution, image dimensions, compression settings, color mode, and legibility of labels and text. Each graphic should be reviewed at its intended publication size to ensure that it is clear, properly proportioned, and free from blurring, pixelation, distortion, or missing elements. Graphics that do not meet the specified requirements may be returned to the author for correction before the manuscript can proceed to publication.</w:t>
      </w:r>
    </w:p>
    <w:p w14:paraId="0FE122C9" w14:textId="77777777" w:rsidR="00E97402" w:rsidRDefault="00E97402">
      <w:pPr>
        <w:pStyle w:val="Heading1"/>
      </w:pPr>
      <w:r>
        <w:t>M</w:t>
      </w:r>
      <w:r>
        <w:rPr>
          <w:sz w:val="16"/>
          <w:szCs w:val="16"/>
        </w:rPr>
        <w:t>ATH</w:t>
      </w:r>
    </w:p>
    <w:p w14:paraId="61672DEB" w14:textId="074CE7D3" w:rsidR="00E97402" w:rsidRDefault="00E97402" w:rsidP="00A04B44">
      <w:pPr>
        <w:pStyle w:val="Text"/>
      </w:pPr>
      <w:r>
        <w:t xml:space="preserve">If you are using </w:t>
      </w:r>
      <w:r>
        <w:rPr>
          <w:i/>
          <w:iCs/>
        </w:rPr>
        <w:t>Word,</w:t>
      </w:r>
      <w:r>
        <w:t xml:space="preserve"> use either the Microsoft Equation Editor or the </w:t>
      </w:r>
      <w:r>
        <w:rPr>
          <w:i/>
          <w:iCs/>
        </w:rPr>
        <w:t>MathType</w:t>
      </w:r>
      <w:r>
        <w:t xml:space="preserve"> add-on (http://www.mathtype.com) for equations in your paper (Insert | Object | Create New | Microsoft Equation </w:t>
      </w:r>
      <w:r>
        <w:rPr>
          <w:i/>
          <w:iCs/>
        </w:rPr>
        <w:t>or</w:t>
      </w:r>
      <w:r>
        <w:t xml:space="preserve"> MathType Equation). “Float over text” should </w:t>
      </w:r>
      <w:r>
        <w:rPr>
          <w:i/>
          <w:iCs/>
        </w:rPr>
        <w:t>not</w:t>
      </w:r>
      <w:r>
        <w:t xml:space="preserve"> be selected. </w:t>
      </w:r>
    </w:p>
    <w:p w14:paraId="4E597AEB" w14:textId="77777777" w:rsidR="00E97402" w:rsidRDefault="00E97402">
      <w:pPr>
        <w:pStyle w:val="Heading1"/>
      </w:pPr>
      <w:r>
        <w:lastRenderedPageBreak/>
        <w:t>Units</w:t>
      </w:r>
    </w:p>
    <w:p w14:paraId="59CD6E73" w14:textId="77777777" w:rsidR="00E97402" w:rsidRDefault="00E97402">
      <w:pPr>
        <w:pStyle w:val="Text"/>
      </w:pPr>
      <w:r>
        <w:t xml:space="preserve">Use either SI (MKS) or CGS as primary units. (SI units are strongly encouraged.) English units may be used as secondary units (in parentheses). </w:t>
      </w:r>
      <w:r>
        <w:rPr>
          <w:b/>
          <w:bCs/>
        </w:rPr>
        <w:t>This applies to papers in data storage.</w:t>
      </w:r>
      <w:r>
        <w:t xml:space="preserve"> For example, write “15 Gb/cm</w:t>
      </w:r>
      <w:r>
        <w:rPr>
          <w:vertAlign w:val="superscript"/>
        </w:rPr>
        <w:t>2</w:t>
      </w:r>
      <w:r>
        <w:t xml:space="preserve"> (100 Gb/in</w:t>
      </w:r>
      <w:r>
        <w:rPr>
          <w:vertAlign w:val="superscript"/>
        </w:rPr>
        <w:t>2</w:t>
      </w:r>
      <w:r>
        <w:t>).” An exception is when English units are used as identifiers in trade, such as “3½-in disk drive.” Avoid combining SI and CGS units, such as current in amperes and magnetic field in oersteds. This often leads to confusion because equations do not balance dimensionally. If you must use mixed units, clearly state the units for each quantity in an equation.</w:t>
      </w:r>
    </w:p>
    <w:p w14:paraId="2AE25BE0" w14:textId="5607E0EE" w:rsidR="00E97402" w:rsidRDefault="00E97402" w:rsidP="00A04B44">
      <w:pPr>
        <w:pStyle w:val="Text"/>
      </w:pPr>
      <w:r>
        <w:t xml:space="preserve">The SI unit for magnetic field 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14:paraId="48EB5A12" w14:textId="77777777" w:rsidR="00E97402" w:rsidRDefault="00E97402">
      <w:pPr>
        <w:pStyle w:val="Heading1"/>
      </w:pPr>
      <w:r>
        <w:t>Helpful Hints</w:t>
      </w:r>
    </w:p>
    <w:p w14:paraId="07EB3923" w14:textId="77777777" w:rsidR="00E97402" w:rsidRDefault="00E97402">
      <w:pPr>
        <w:pStyle w:val="Heading2"/>
      </w:pPr>
      <w:r>
        <w:t>Figures and Tables</w:t>
      </w:r>
    </w:p>
    <w:p w14:paraId="65FBA9F6" w14:textId="77777777" w:rsidR="00E97402" w:rsidRDefault="00E97402">
      <w:pPr>
        <w:pStyle w:val="Text"/>
      </w:pPr>
      <w:r>
        <w:t xml:space="preserve">Because </w:t>
      </w:r>
      <w:r w:rsidR="00896E78">
        <w:t>IISJ</w:t>
      </w:r>
      <w:r>
        <w:t xml:space="preserve"> </w:t>
      </w:r>
      <w:r w:rsidR="00D775E5">
        <w:t>won`t</w:t>
      </w:r>
      <w:r>
        <w:t xml:space="preserve"> do the final formatting of your paper, you need to position figures and tables at the top and bottom of each column. Large figures and tables may span both columns. Place figure captions below the figures; place table titles above the tables. If your figure has two parts, include the labels “(a)” and “(b)” as part of the artwork. Please verify that the figures and tables you mention in the text actually exist. </w:t>
      </w:r>
      <w:r>
        <w:rPr>
          <w:b/>
          <w:bCs/>
        </w:rPr>
        <w:t xml:space="preserve">Please do not include captions as part of the figures. Do not put captions in “text boxes” linked to the figures. Do not put borders around the outside of your figures. </w:t>
      </w:r>
      <w:r>
        <w:t xml:space="preserve">Use the abbreviation “Fig.” even at the beginning of a sentence. Do not abbreviate “Table.” Tables are numbered with Roman numerals. </w:t>
      </w:r>
    </w:p>
    <w:p w14:paraId="02B42FB1" w14:textId="77777777" w:rsidR="00DF2DDE" w:rsidRDefault="00E97402" w:rsidP="00DF2DDE">
      <w:pPr>
        <w:pStyle w:val="Text"/>
        <w:rPr>
          <w:b/>
        </w:rPr>
      </w:pPr>
      <w:r>
        <w:t xml:space="preserve">Color printing of figures is available, but is billed to the authors. Include a note with your final paper indicating that you request and will pay for color printing. </w:t>
      </w:r>
      <w:r w:rsidRPr="002E15D6">
        <w:rPr>
          <w:bCs/>
        </w:rPr>
        <w:t>Do not use color unless it is necessary for the proper interpretation of your figures.</w:t>
      </w:r>
      <w:r>
        <w:t xml:space="preserve"> If you want reprints of your color article, the reprint order should be submitted promptly. There is an additional </w:t>
      </w:r>
      <w:r w:rsidR="00144E72">
        <w:t xml:space="preserve">charge </w:t>
      </w:r>
      <w:r>
        <w:t xml:space="preserve">for color reprints. </w:t>
      </w:r>
    </w:p>
    <w:p w14:paraId="55964D4D" w14:textId="34FCDA5F" w:rsidR="00E97402" w:rsidRPr="00DF2DDE" w:rsidRDefault="00E97402" w:rsidP="00DF2DDE">
      <w:pPr>
        <w:pStyle w:val="Text"/>
        <w:rPr>
          <w:b/>
        </w:rPr>
      </w:pPr>
      <w:r>
        <w:t xml:space="preserve">Figure axis labels are often a source of confusion. Use words rather than symbols. As an example, write the quantity “Magnetization,” or “Magnetization </w:t>
      </w:r>
      <w:r>
        <w:rPr>
          <w:i/>
          <w:iCs/>
        </w:rPr>
        <w:t>M</w:t>
      </w:r>
      <w:r>
        <w:t>,” not just “</w:t>
      </w:r>
      <w:r>
        <w:rPr>
          <w:i/>
          <w:iCs/>
        </w:rPr>
        <w:t>M</w:t>
      </w:r>
      <w:r>
        <w:t>.” Put units in parentheses. Do not label axes only with units. As in Fig. 1, for example, write “Magnetization (A/m)” or “Magnetization (A</w:t>
      </w:r>
      <w:r w:rsidR="00B1257F">
        <w:rPr>
          <w:noProof/>
          <w:position w:val="-2"/>
        </w:rPr>
        <w:object w:dxaOrig="100" w:dyaOrig="120" w14:anchorId="0DAB1B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pt;height:6.3pt;mso-width-percent:0;mso-height-percent:0;mso-width-percent:0;mso-height-percent:0" o:ole="" fillcolor="window">
            <v:imagedata r:id="rId10" o:title=""/>
          </v:shape>
          <o:OLEObject Type="Embed" ProgID="Unknown" ShapeID="_x0000_i1026" DrawAspect="Content" ObjectID="_1848062729" r:id="rId11"/>
        </w:object>
      </w:r>
      <w:r>
        <w:t>m</w:t>
      </w:r>
      <w:r>
        <w:rPr>
          <w:vertAlign w:val="superscript"/>
        </w:rPr>
        <w:sym w:font="Symbol" w:char="F02D"/>
      </w:r>
      <w:r>
        <w:rPr>
          <w:vertAlign w:val="superscript"/>
        </w:rPr>
        <w:t>1</w:t>
      </w:r>
      <w:r>
        <w:t xml:space="preserve">),” not just “A/m.” Do not label axes with a ratio of quantities and units. For example, write “Temperature (K),” not “Temperature/K.” </w:t>
      </w:r>
    </w:p>
    <w:p w14:paraId="02205F11" w14:textId="77777777" w:rsidR="00E97402" w:rsidRDefault="00E97402">
      <w:pPr>
        <w:pStyle w:val="Text"/>
      </w:pPr>
      <w:r>
        <w:t>Multipliers can be especially confusing. Write “Magnetization (kA/m)” or “Magnetization (10</w:t>
      </w:r>
      <w:r>
        <w:rPr>
          <w:vertAlign w:val="superscript"/>
        </w:rPr>
        <w:t>3</w:t>
      </w:r>
      <w:r>
        <w:t xml:space="preserve"> A/m).” Do not write “Magnetization (A/m) </w:t>
      </w:r>
      <w:r>
        <w:sym w:font="Symbol" w:char="F0B4"/>
      </w:r>
      <w:r>
        <w:t xml:space="preserve"> 1000” because the reader would not know whether the top axis label in Fig. 1 meant 16000 A/m or 0.016 A/m. Figure labels should be legible, approximately 8 to 12 point type.</w:t>
      </w:r>
    </w:p>
    <w:p w14:paraId="2EEBBC5C" w14:textId="77777777" w:rsidR="00E97402" w:rsidRDefault="00E97402">
      <w:pPr>
        <w:pStyle w:val="Heading2"/>
      </w:pPr>
      <w:r>
        <w:t>References</w:t>
      </w:r>
    </w:p>
    <w:p w14:paraId="24A5DD35" w14:textId="77777777" w:rsidR="00E97402" w:rsidRDefault="00E97402">
      <w:pPr>
        <w:pStyle w:val="Text"/>
      </w:pPr>
      <w:r>
        <w:t xml:space="preserve">Number citations consecutively in square brackets [1]. The sentence punctuation follows the brackets [2]. Multiple </w:t>
      </w:r>
      <w:r>
        <w:t xml:space="preserve">references [2], [3] are each numbered with separate brackets [1]–[3]. When citing a section in a book, please give the relevant page numbers [2]. In sentences, refer simply to the reference number, as in [3]. Do not use “Ref. [3]” or “reference [3]” except at the beginning of a sentence: “Reference [3] shows ... .” Please do not use automatic endnotes in </w:t>
      </w:r>
      <w:r>
        <w:rPr>
          <w:i/>
          <w:iCs/>
        </w:rPr>
        <w:t>Word</w:t>
      </w:r>
      <w:r>
        <w:t>, rather, type the reference list at the end of the paper using the “References” style.</w:t>
      </w:r>
    </w:p>
    <w:p w14:paraId="0A240530" w14:textId="77777777" w:rsidR="00E97402" w:rsidRDefault="00E97402">
      <w:pPr>
        <w:pStyle w:val="Text"/>
      </w:pPr>
      <w:r>
        <w:t>Number footnotes separately in superscripts (Insert | Footnote).</w:t>
      </w:r>
      <w:r>
        <w:rPr>
          <w:rStyle w:val="FootnoteReference"/>
        </w:rPr>
        <w:footnoteReference w:id="2"/>
      </w:r>
      <w:r>
        <w:t xml:space="preserve"> Place the actual footnote at the bottom of the column in which it is cited; do not put footnotes in the reference list (endnotes). Use letters for table footnotes (see Table I). </w:t>
      </w:r>
    </w:p>
    <w:p w14:paraId="22E7A821" w14:textId="77777777" w:rsidR="00E97402" w:rsidRDefault="00E97402">
      <w:pPr>
        <w:pStyle w:val="Text"/>
      </w:pPr>
      <w:r>
        <w:t>Please note that the references at the end of this document are in the preferred referencing style. Give all authors’ names; do not use “</w:t>
      </w:r>
      <w:r>
        <w:rPr>
          <w:i/>
          <w:iCs/>
        </w:rPr>
        <w:t>et al</w:t>
      </w:r>
      <w:r>
        <w:t xml:space="preserve">.” unless there are six authors or more. Use a space after authors’ initials. Papers that have not been published should be cited as “unpublished” [4]. </w:t>
      </w:r>
      <w:r w:rsidR="00D56935">
        <w:t xml:space="preserve">Papers that have been accepted for publication, but not yet specified for an issue should be cited as “to be published” [5]. </w:t>
      </w:r>
      <w:r>
        <w:t>Papers that have been submitted for publication should be cited as “submitted for publication” [</w:t>
      </w:r>
      <w:r w:rsidR="00D56935">
        <w:t>6</w:t>
      </w:r>
      <w:r>
        <w:t>]. Please give affiliations and addresses for private communications [7].</w:t>
      </w:r>
    </w:p>
    <w:p w14:paraId="2C29BB7A" w14:textId="77777777" w:rsidR="00E97402" w:rsidRDefault="00E97402">
      <w:pPr>
        <w:pStyle w:val="Text"/>
        <w:ind w:firstLine="144"/>
      </w:pPr>
      <w:r>
        <w:t>Capitalize only the first word in a paper title, except for proper nouns and element symbols. For papers published in translation journals, please give the English citation first, followed by the original foreign-language citation [8].</w:t>
      </w:r>
    </w:p>
    <w:p w14:paraId="580A07B8" w14:textId="77777777" w:rsidR="00E97402" w:rsidRDefault="00E97402">
      <w:pPr>
        <w:pStyle w:val="Heading2"/>
      </w:pPr>
      <w:r>
        <w:t>Abbreviations and Acronyms</w:t>
      </w:r>
    </w:p>
    <w:p w14:paraId="13D6F3DD" w14:textId="77777777" w:rsidR="00E97402" w:rsidRDefault="00E97402">
      <w:pPr>
        <w:pStyle w:val="Text"/>
        <w:ind w:firstLine="144"/>
      </w:pPr>
      <w:r>
        <w:t xml:space="preserve">Define abbreviations and acronyms the first time they are used in the text, even after they have already been defined in the abstract. Abbreviations such as </w:t>
      </w:r>
      <w:r w:rsidR="00896E78">
        <w:t>IISJ</w:t>
      </w:r>
      <w:r>
        <w:t>, SI, ac, and dc do not have to be defined. Abbreviations that incorporate periods should not have spaces: write “C.N.R.S.,” not “C. N. R. S.” Do not use abbreviations in the title unless they are unavoidable (for example, “</w:t>
      </w:r>
      <w:r w:rsidR="00896E78">
        <w:t>IISJ</w:t>
      </w:r>
      <w:r>
        <w:t>” in the title of this article).</w:t>
      </w:r>
    </w:p>
    <w:p w14:paraId="38562CD8" w14:textId="77777777" w:rsidR="00E97402" w:rsidRDefault="00E97402">
      <w:pPr>
        <w:pStyle w:val="Heading2"/>
      </w:pPr>
      <w:r>
        <w:t>Equations</w:t>
      </w:r>
    </w:p>
    <w:p w14:paraId="5D031FDA" w14:textId="77777777" w:rsidR="00E97402" w:rsidRDefault="00E97402">
      <w:pPr>
        <w:pStyle w:val="Text"/>
      </w:pPr>
      <w:r>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14:paraId="5BE9CFAD" w14:textId="77777777" w:rsidR="00E97402" w:rsidRDefault="00E97402">
      <w:pPr>
        <w:pStyle w:val="Text"/>
      </w:pPr>
    </w:p>
    <w:p w14:paraId="33D105C0" w14:textId="01667AAA" w:rsidR="00E97402" w:rsidRDefault="00B1257F">
      <w:pPr>
        <w:pStyle w:val="Equation"/>
      </w:pPr>
      <w:r>
        <w:rPr>
          <w:noProof/>
          <w:position w:val="-50"/>
        </w:rPr>
        <w:object w:dxaOrig="4940" w:dyaOrig="1120" w14:anchorId="2035AFED">
          <v:shape id="_x0000_i1025" type="#_x0000_t75" alt="" style="width:224.55pt;height:45.9pt;mso-width-percent:0;mso-height-percent:0;mso-width-percent:0;mso-height-percent:0" o:ole="" fillcolor="window">
            <v:imagedata r:id="rId12" o:title=""/>
          </v:shape>
          <o:OLEObject Type="Embed" ProgID="Unknown" ShapeID="_x0000_i1025" DrawAspect="Content" ObjectID="_1848062730" r:id="rId13"/>
        </w:object>
      </w:r>
      <w:r w:rsidR="00E97402">
        <w:tab/>
        <w:t>(1)</w:t>
      </w:r>
    </w:p>
    <w:p w14:paraId="74D671C9" w14:textId="77777777" w:rsidR="00E97402" w:rsidRDefault="00E97402"/>
    <w:p w14:paraId="61D82075" w14:textId="77777777" w:rsidR="00E97402" w:rsidRDefault="00E97402">
      <w:pPr>
        <w:pStyle w:val="Text"/>
      </w:pPr>
      <w:r>
        <w:t xml:space="preserve">Be sure that the symbols in your equation have been defined </w:t>
      </w:r>
      <w:r>
        <w:lastRenderedPageBreak/>
        <w:t>before the equation appears or immediately following. Italicize symbols (</w:t>
      </w:r>
      <w:r>
        <w:rPr>
          <w:i/>
          <w:iCs/>
        </w:rPr>
        <w:t>T</w:t>
      </w:r>
      <w:r>
        <w:t xml:space="preserve"> might refer to temperature, but T is the unit tesla). Refer to “(1),” not “Eq. (1)” or “equation (1),” except at the beginning of a sentence: “Equation (1) is ... .”</w:t>
      </w:r>
    </w:p>
    <w:p w14:paraId="3B620CAF" w14:textId="77777777" w:rsidR="00E97402" w:rsidRDefault="00E97402">
      <w:pPr>
        <w:pStyle w:val="Heading2"/>
      </w:pPr>
      <w:r>
        <w:t>Other Recommendations</w:t>
      </w:r>
    </w:p>
    <w:p w14:paraId="3B8D69CB" w14:textId="77777777" w:rsidR="00E97402" w:rsidRDefault="00E97402">
      <w:pPr>
        <w:pStyle w:val="Text"/>
      </w:pPr>
      <w:r>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3B2070E1" w14:textId="77777777" w:rsidR="00E97402" w:rsidRDefault="00E97402">
      <w:pPr>
        <w:pStyle w:val="Text"/>
      </w:pPr>
      <w:r>
        <w:t>Use a zero before decimal points: “0.25,” not “.25.” Use “cm</w:t>
      </w:r>
      <w:r>
        <w:rPr>
          <w:vertAlign w:val="superscript"/>
        </w:rPr>
        <w:t>3</w:t>
      </w:r>
      <w:r>
        <w:t xml:space="preserve">,” not “cc.” Indicate sample dimensions as “0.1 cm </w:t>
      </w:r>
      <w:r>
        <w:sym w:font="Symbol" w:char="F0B4"/>
      </w:r>
      <w:r>
        <w:t xml:space="preserve"> 0.2 cm,” not “0.1 </w:t>
      </w:r>
      <w:r>
        <w:sym w:font="Symbol" w:char="F0B4"/>
      </w:r>
      <w:r>
        <w:t xml:space="preserve"> 0.2 cm</w:t>
      </w:r>
      <w:r>
        <w:rPr>
          <w:vertAlign w:val="superscript"/>
        </w:rPr>
        <w:t>2</w:t>
      </w:r>
      <w:r>
        <w:t>.” The abbreviation for “seconds” is “s,” not “sec.” Do not mix complete spellings and abbreviations of units: use “Wb/m</w:t>
      </w:r>
      <w:r>
        <w:rPr>
          <w:vertAlign w:val="superscript"/>
        </w:rPr>
        <w:t>2</w:t>
      </w:r>
      <w:r>
        <w:t>” or “webers per square meter,” not “webers/m</w:t>
      </w:r>
      <w:r>
        <w:rPr>
          <w:vertAlign w:val="superscript"/>
        </w:rPr>
        <w:t>2</w:t>
      </w:r>
      <w:r>
        <w:t>.” When expressing a range of values, write “7 to 9” or “7-9,” not “7~9.”</w:t>
      </w:r>
    </w:p>
    <w:p w14:paraId="6697434C" w14:textId="77777777" w:rsidR="00E97402" w:rsidRDefault="00E97402">
      <w:pPr>
        <w:pStyle w:val="Text"/>
      </w:pPr>
      <w:r>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53FDB976" w14:textId="77777777" w:rsidR="00E97402" w:rsidRDefault="00E97402">
      <w:pPr>
        <w:pStyle w:val="Text"/>
      </w:pPr>
      <w:r>
        <w:t>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w:t>
      </w:r>
      <w:r w:rsidR="002434A1">
        <w:t>our paper.</w:t>
      </w:r>
    </w:p>
    <w:p w14:paraId="47C0D190" w14:textId="77777777" w:rsidR="00E97402" w:rsidRDefault="00E97402">
      <w:pPr>
        <w:pStyle w:val="Heading1"/>
      </w:pPr>
      <w:r>
        <w:t>Some Common Mistakes</w:t>
      </w:r>
    </w:p>
    <w:p w14:paraId="4B345827" w14:textId="77777777" w:rsidR="00E97402" w:rsidRDefault="00E97402">
      <w:pPr>
        <w:pStyle w:val="Text"/>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14:paraId="3226BE04" w14:textId="77777777" w:rsidR="00E97402" w:rsidRDefault="00E97402">
      <w:pPr>
        <w:pStyle w:val="Text"/>
      </w:pPr>
      <w:r>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14:paraId="13545DDF" w14:textId="77777777" w:rsidR="00E97402" w:rsidRDefault="00E97402">
      <w:pPr>
        <w:pStyle w:val="Text"/>
      </w:pPr>
      <w:r>
        <w:t>Prefixes such as “non,” “sub,” “micro,” “multi,” and “ultra” are not independent words; they should be joined to the words they modify, usually without a hyphen. There is no period after the “et” in the Latin abbreviation “</w:t>
      </w:r>
      <w:r>
        <w:rPr>
          <w:i/>
          <w:iCs/>
        </w:rPr>
        <w:t>et al.</w:t>
      </w:r>
      <w:r>
        <w:t>” (it is also italicized). The abbreviation “i.e.,” means “that is,” and the abbreviation “e.g.,” means “for example” (these abbreviations are not italicized).</w:t>
      </w:r>
    </w:p>
    <w:p w14:paraId="2DFDC3C7" w14:textId="259D36FB" w:rsidR="00E97402" w:rsidRDefault="00E97402" w:rsidP="00A04B44">
      <w:pPr>
        <w:pStyle w:val="Text"/>
      </w:pPr>
      <w:r>
        <w:t xml:space="preserve">An excellent style manual and source of information for science writers is [9]. </w:t>
      </w:r>
    </w:p>
    <w:p w14:paraId="7B4C87D9" w14:textId="77777777" w:rsidR="00E97402" w:rsidRDefault="00E97402">
      <w:pPr>
        <w:pStyle w:val="Heading1"/>
      </w:pPr>
      <w:r>
        <w:t>Editorial Policy</w:t>
      </w:r>
    </w:p>
    <w:p w14:paraId="420498E0" w14:textId="77777777" w:rsidR="00E97402" w:rsidRDefault="00E97402">
      <w:pPr>
        <w:pStyle w:val="Text"/>
      </w:pPr>
      <w:r>
        <w:t xml:space="preserve">Do not submit a reworked version of a paper you have submitted or published elsewhere. Do not publish “preliminary” data or results. The submitting author is responsible for obtaining agreement of all coauthors and any consent required from sponsors before submitting a paper. </w:t>
      </w:r>
      <w:r w:rsidR="00896E78">
        <w:t>IISJ</w:t>
      </w:r>
      <w:r>
        <w:t xml:space="preserve"> T</w:t>
      </w:r>
      <w:r>
        <w:rPr>
          <w:sz w:val="16"/>
          <w:szCs w:val="16"/>
        </w:rPr>
        <w:t>RANSACTIONS</w:t>
      </w:r>
      <w:r>
        <w:t xml:space="preserve"> and J</w:t>
      </w:r>
      <w:r>
        <w:rPr>
          <w:sz w:val="16"/>
          <w:szCs w:val="16"/>
        </w:rPr>
        <w:t>OURNALS</w:t>
      </w:r>
      <w:r>
        <w:t xml:space="preserve"> strongly discourage courtesy authorship. It is the obligation of the authors to cite relevant prior work.</w:t>
      </w:r>
    </w:p>
    <w:p w14:paraId="01EEF7EA" w14:textId="1B5304D7" w:rsidR="00E97402" w:rsidRDefault="00E97402" w:rsidP="00A04B44">
      <w:pPr>
        <w:pStyle w:val="Text"/>
      </w:pPr>
      <w:r>
        <w:t xml:space="preserve">At least two reviews are required for every paper submitted. For conference-related papers, the decision to accept or reject a paper is made by the conference editors and publications committee; the recommendations of the referees are advisory only. Undecipherable English is a valid reason for rejection. Authors of rejected papers may revise and resubmit as </w:t>
      </w:r>
      <w:r w:rsidR="008672A6">
        <w:t>new</w:t>
      </w:r>
      <w:r>
        <w:t xml:space="preserve"> papers, whereupon they will be reviewed by two new referees.</w:t>
      </w:r>
    </w:p>
    <w:p w14:paraId="47A97598" w14:textId="77777777" w:rsidR="00E97402" w:rsidRDefault="00E97402">
      <w:pPr>
        <w:pStyle w:val="Heading1"/>
      </w:pPr>
      <w:r>
        <w:t>Publication Principles</w:t>
      </w:r>
    </w:p>
    <w:p w14:paraId="4B111ACB" w14:textId="77777777" w:rsidR="00E97402" w:rsidRDefault="00E97402">
      <w:pPr>
        <w:pStyle w:val="Text"/>
      </w:pPr>
      <w:r>
        <w:t xml:space="preserve">The contents of </w:t>
      </w:r>
      <w:r w:rsidR="00896E78">
        <w:t>IISJ</w:t>
      </w:r>
      <w:r>
        <w:t xml:space="preserve"> T</w:t>
      </w:r>
      <w:r>
        <w:rPr>
          <w:sz w:val="16"/>
          <w:szCs w:val="16"/>
        </w:rPr>
        <w:t xml:space="preserve">RANSACTIONS </w:t>
      </w:r>
      <w:r>
        <w:t>and J</w:t>
      </w:r>
      <w:r>
        <w:rPr>
          <w:sz w:val="16"/>
          <w:szCs w:val="16"/>
        </w:rPr>
        <w:t xml:space="preserve">OURNALS </w:t>
      </w:r>
      <w:r>
        <w:t>are peer-reviewed and archival. The T</w:t>
      </w:r>
      <w:r>
        <w:rPr>
          <w:sz w:val="16"/>
          <w:szCs w:val="16"/>
        </w:rPr>
        <w:t>RANSACTIONS</w:t>
      </w:r>
      <w:r>
        <w:t xml:space="preserve"> publishes scholarly articles of archival value as well as tutorial expositions and critical reviews of classical subjects and topics of current interest. </w:t>
      </w:r>
    </w:p>
    <w:p w14:paraId="6A3DAEAB" w14:textId="77777777" w:rsidR="00E97402" w:rsidRDefault="00E97402">
      <w:pPr>
        <w:pStyle w:val="Text"/>
      </w:pPr>
      <w:r>
        <w:t>Authors should consider the following points:</w:t>
      </w:r>
    </w:p>
    <w:p w14:paraId="5B62B68D" w14:textId="77777777" w:rsidR="00E97402" w:rsidRDefault="00E97402">
      <w:pPr>
        <w:pStyle w:val="Text"/>
        <w:numPr>
          <w:ilvl w:val="0"/>
          <w:numId w:val="18"/>
        </w:numPr>
      </w:pPr>
      <w:r>
        <w:t xml:space="preserve">Technical papers submitted for publication must advance the state of knowledge and must cite relevant prior work. </w:t>
      </w:r>
    </w:p>
    <w:p w14:paraId="750236A8" w14:textId="77777777" w:rsidR="00E97402" w:rsidRDefault="00E97402">
      <w:pPr>
        <w:pStyle w:val="Text"/>
        <w:numPr>
          <w:ilvl w:val="0"/>
          <w:numId w:val="18"/>
        </w:numPr>
      </w:pPr>
      <w:r>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70F7B966" w14:textId="77777777" w:rsidR="00E97402" w:rsidRDefault="00E97402">
      <w:pPr>
        <w:pStyle w:val="Text"/>
        <w:numPr>
          <w:ilvl w:val="0"/>
          <w:numId w:val="18"/>
        </w:numPr>
      </w:pPr>
      <w:r>
        <w:t xml:space="preserve">Authors must convince both peer reviewers and the editors of the scientific and technical merit of a paper; the standards of proof are higher when extraordinary or unexpected results are reported. </w:t>
      </w:r>
    </w:p>
    <w:p w14:paraId="6A906D52" w14:textId="77777777" w:rsidR="00E97402" w:rsidRDefault="00E97402">
      <w:pPr>
        <w:pStyle w:val="Text"/>
        <w:numPr>
          <w:ilvl w:val="0"/>
          <w:numId w:val="18"/>
        </w:numPr>
      </w:pPr>
      <w:r>
        <w:t>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w:t>
      </w:r>
      <w:r w:rsidR="00625E96">
        <w:t>mation. For example, a specimen’</w:t>
      </w:r>
      <w:r>
        <w:t xml:space="preserve">s chemical composition need not be reported if the main purpose of a paper is to introduce a new measurement technique. Authors should expect to be challenged by reviewers if the results are not supported by </w:t>
      </w:r>
      <w:r>
        <w:lastRenderedPageBreak/>
        <w:t>adequate data and critical details.</w:t>
      </w:r>
    </w:p>
    <w:p w14:paraId="5195CD46" w14:textId="7562FCF8" w:rsidR="00E97402" w:rsidRDefault="00E97402" w:rsidP="00A04B44">
      <w:pPr>
        <w:pStyle w:val="Text"/>
        <w:numPr>
          <w:ilvl w:val="0"/>
          <w:numId w:val="18"/>
        </w:numPr>
      </w:pPr>
      <w:r>
        <w:t>Papers that describe ongoing work or announce the latest technical achievement, which are suitable for presentation at a professional conference, may not be appropriate for publication in a T</w:t>
      </w:r>
      <w:r>
        <w:rPr>
          <w:sz w:val="16"/>
          <w:szCs w:val="16"/>
        </w:rPr>
        <w:t>RANSACTIONS</w:t>
      </w:r>
      <w:r>
        <w:t xml:space="preserve"> or J</w:t>
      </w:r>
      <w:r>
        <w:rPr>
          <w:sz w:val="16"/>
          <w:szCs w:val="16"/>
        </w:rPr>
        <w:t>OURNAL.</w:t>
      </w:r>
    </w:p>
    <w:p w14:paraId="7AF0DEF4" w14:textId="77777777" w:rsidR="00E97402" w:rsidRDefault="00E97402">
      <w:pPr>
        <w:pStyle w:val="Heading1"/>
      </w:pPr>
      <w:r>
        <w:t>Conclusion</w:t>
      </w:r>
    </w:p>
    <w:p w14:paraId="05A61F65" w14:textId="77777777" w:rsidR="00E97402" w:rsidRDefault="00E97402">
      <w:pPr>
        <w:pStyle w:val="Text"/>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14:paraId="510F169E" w14:textId="77777777" w:rsidR="00E97402" w:rsidRDefault="00E97402">
      <w:pPr>
        <w:pStyle w:val="ReferenceHead"/>
      </w:pPr>
      <w:r>
        <w:t>Appendix</w:t>
      </w:r>
    </w:p>
    <w:p w14:paraId="4AE39CB1" w14:textId="77777777" w:rsidR="00E97402" w:rsidRDefault="00E97402">
      <w:pPr>
        <w:pStyle w:val="Text"/>
      </w:pPr>
      <w:r>
        <w:t>Appendixes, if needed, appear before the acknowledgment.</w:t>
      </w:r>
    </w:p>
    <w:p w14:paraId="18FEFE5B" w14:textId="77777777" w:rsidR="00E97402" w:rsidRDefault="00E97402">
      <w:pPr>
        <w:pStyle w:val="ReferenceHead"/>
      </w:pPr>
      <w:r>
        <w:t>Acknowledgment</w:t>
      </w:r>
    </w:p>
    <w:p w14:paraId="0970AA8D" w14:textId="77777777" w:rsidR="00E97402" w:rsidRDefault="00E97402">
      <w:pPr>
        <w:pStyle w:val="Text"/>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r>
        <w:rPr>
          <w:b/>
          <w:bCs/>
        </w:rPr>
        <w:t>Sponsor and financial support acknowledgments are placed in the unnumbered footnote on the first page, not here.</w:t>
      </w:r>
    </w:p>
    <w:p w14:paraId="424B8D42" w14:textId="77777777" w:rsidR="00E97402" w:rsidRDefault="00E97402">
      <w:pPr>
        <w:pStyle w:val="ReferenceHead"/>
      </w:pPr>
      <w:r>
        <w:t>References</w:t>
      </w:r>
    </w:p>
    <w:p w14:paraId="6776F2FE" w14:textId="77777777" w:rsidR="00E97402" w:rsidRDefault="00E97402">
      <w:pPr>
        <w:numPr>
          <w:ilvl w:val="0"/>
          <w:numId w:val="19"/>
        </w:numPr>
        <w:rPr>
          <w:sz w:val="16"/>
          <w:szCs w:val="16"/>
        </w:rPr>
      </w:pPr>
      <w:r>
        <w:rPr>
          <w:sz w:val="16"/>
          <w:szCs w:val="16"/>
        </w:rPr>
        <w:t xml:space="preserve">G. O. Young, “Synthetic structure of industrial plastics (Book style with paper title and editor),” </w:t>
      </w:r>
      <w:r>
        <w:rPr>
          <w:sz w:val="16"/>
          <w:szCs w:val="16"/>
        </w:rPr>
        <w:tab/>
        <w:t xml:space="preserve">in </w:t>
      </w:r>
      <w:r>
        <w:rPr>
          <w:i/>
          <w:iCs/>
          <w:sz w:val="16"/>
          <w:szCs w:val="16"/>
        </w:rPr>
        <w:t>Plastics</w:t>
      </w:r>
      <w:r>
        <w:rPr>
          <w:sz w:val="16"/>
          <w:szCs w:val="16"/>
        </w:rPr>
        <w:t>, 2nd ed. vol. 3, J. Peters, Ed.  New York: McGraw-Hill, 1964, pp. 15–64.</w:t>
      </w:r>
    </w:p>
    <w:p w14:paraId="5954E831" w14:textId="77777777" w:rsidR="00E97402" w:rsidRDefault="00E97402">
      <w:pPr>
        <w:numPr>
          <w:ilvl w:val="0"/>
          <w:numId w:val="19"/>
        </w:numPr>
        <w:rPr>
          <w:sz w:val="16"/>
          <w:szCs w:val="16"/>
        </w:rPr>
      </w:pPr>
      <w:r>
        <w:rPr>
          <w:sz w:val="16"/>
          <w:szCs w:val="16"/>
        </w:rPr>
        <w:t xml:space="preserve">W.-K. Chen, </w:t>
      </w:r>
      <w:r>
        <w:rPr>
          <w:i/>
          <w:iCs/>
          <w:sz w:val="16"/>
          <w:szCs w:val="16"/>
        </w:rPr>
        <w:t>Linear Networks and Systems</w:t>
      </w:r>
      <w:r>
        <w:rPr>
          <w:sz w:val="16"/>
          <w:szCs w:val="16"/>
        </w:rPr>
        <w:t xml:space="preserve"> (Book style)</w:t>
      </w:r>
      <w:r>
        <w:rPr>
          <w:i/>
          <w:iCs/>
          <w:sz w:val="16"/>
          <w:szCs w:val="16"/>
        </w:rPr>
        <w:t>.</w:t>
      </w:r>
      <w:r>
        <w:rPr>
          <w:sz w:val="16"/>
          <w:szCs w:val="16"/>
        </w:rPr>
        <w:tab/>
        <w:t>Belmont, CA: Wadsworth, 1993, pp. 123–135.</w:t>
      </w:r>
    </w:p>
    <w:p w14:paraId="295C8B8D" w14:textId="77777777" w:rsidR="00E97402" w:rsidRDefault="00E97402">
      <w:pPr>
        <w:numPr>
          <w:ilvl w:val="0"/>
          <w:numId w:val="19"/>
        </w:numPr>
        <w:rPr>
          <w:sz w:val="16"/>
          <w:szCs w:val="16"/>
        </w:rPr>
      </w:pPr>
      <w:r>
        <w:rPr>
          <w:sz w:val="16"/>
          <w:szCs w:val="16"/>
        </w:rPr>
        <w:t xml:space="preserve">H. Poor, </w:t>
      </w:r>
      <w:r>
        <w:rPr>
          <w:i/>
          <w:iCs/>
          <w:sz w:val="16"/>
          <w:szCs w:val="16"/>
        </w:rPr>
        <w:t>An Introduction to Signal Detection and Estimation</w:t>
      </w:r>
      <w:r>
        <w:rPr>
          <w:sz w:val="16"/>
          <w:szCs w:val="16"/>
        </w:rPr>
        <w:t>.   New York: Springer-Verlag, 1985, ch. 4.</w:t>
      </w:r>
    </w:p>
    <w:p w14:paraId="5E625B57" w14:textId="77777777" w:rsidR="00E97402" w:rsidRDefault="00E97402">
      <w:pPr>
        <w:pStyle w:val="References"/>
        <w:numPr>
          <w:ilvl w:val="0"/>
          <w:numId w:val="19"/>
        </w:numPr>
      </w:pPr>
      <w:r>
        <w:t>B. Smith, “An approach to graphs of linear forms (Unpublished work style),” unpublished.</w:t>
      </w:r>
    </w:p>
    <w:p w14:paraId="7E56FE81" w14:textId="77777777" w:rsidR="00E97402" w:rsidRDefault="00E97402">
      <w:pPr>
        <w:numPr>
          <w:ilvl w:val="0"/>
          <w:numId w:val="19"/>
        </w:numPr>
        <w:rPr>
          <w:sz w:val="16"/>
          <w:szCs w:val="16"/>
        </w:rPr>
      </w:pPr>
      <w:r>
        <w:rPr>
          <w:sz w:val="16"/>
          <w:szCs w:val="16"/>
        </w:rPr>
        <w:t xml:space="preserve">E. H. Miller, “A note on reflector arrays (Periodical style—Accepted for publication),” </w:t>
      </w:r>
      <w:r w:rsidR="00896E78">
        <w:rPr>
          <w:i/>
          <w:iCs/>
          <w:sz w:val="16"/>
          <w:szCs w:val="16"/>
        </w:rPr>
        <w:t>IISJ</w:t>
      </w:r>
      <w:r>
        <w:rPr>
          <w:i/>
          <w:iCs/>
          <w:sz w:val="16"/>
          <w:szCs w:val="16"/>
        </w:rPr>
        <w:t xml:space="preserve"> Trans. Antennas Propagat.</w:t>
      </w:r>
      <w:r>
        <w:rPr>
          <w:sz w:val="16"/>
          <w:szCs w:val="16"/>
        </w:rPr>
        <w:t>, to be published.</w:t>
      </w:r>
    </w:p>
    <w:p w14:paraId="6A6E9C43" w14:textId="77777777" w:rsidR="00E97402" w:rsidRDefault="00E97402">
      <w:pPr>
        <w:numPr>
          <w:ilvl w:val="0"/>
          <w:numId w:val="19"/>
        </w:numPr>
        <w:rPr>
          <w:sz w:val="16"/>
          <w:szCs w:val="16"/>
        </w:rPr>
      </w:pPr>
      <w:r>
        <w:rPr>
          <w:sz w:val="16"/>
          <w:szCs w:val="16"/>
        </w:rPr>
        <w:t xml:space="preserve">J. Wang, “Fundamentals of erbium-doped fiber amplifiers arrays (Periodical style—Submitted for publication),” </w:t>
      </w:r>
      <w:r w:rsidR="00896E78">
        <w:rPr>
          <w:i/>
          <w:iCs/>
          <w:sz w:val="16"/>
          <w:szCs w:val="16"/>
        </w:rPr>
        <w:t>IISJ</w:t>
      </w:r>
      <w:r w:rsidR="00E50DF6">
        <w:rPr>
          <w:i/>
          <w:iCs/>
          <w:sz w:val="16"/>
          <w:szCs w:val="16"/>
        </w:rPr>
        <w:t xml:space="preserve"> J. Quantum </w:t>
      </w:r>
      <w:r>
        <w:rPr>
          <w:i/>
          <w:iCs/>
          <w:sz w:val="16"/>
          <w:szCs w:val="16"/>
        </w:rPr>
        <w:t>Electron.</w:t>
      </w:r>
      <w:r>
        <w:rPr>
          <w:sz w:val="16"/>
          <w:szCs w:val="16"/>
        </w:rPr>
        <w:t>, submitted for publication.</w:t>
      </w:r>
    </w:p>
    <w:p w14:paraId="306DAADB" w14:textId="77777777" w:rsidR="00E97402" w:rsidRDefault="00E97402">
      <w:pPr>
        <w:pStyle w:val="References"/>
        <w:numPr>
          <w:ilvl w:val="0"/>
          <w:numId w:val="19"/>
        </w:numPr>
      </w:pPr>
      <w:r>
        <w:t>C. J. Kaufman, Rocky Mountain Research Lab., Boulder, CO, private communication, May 1995.</w:t>
      </w:r>
    </w:p>
    <w:p w14:paraId="7A405857" w14:textId="77777777" w:rsidR="00E97402" w:rsidRDefault="00E97402">
      <w:pPr>
        <w:pStyle w:val="References"/>
        <w:numPr>
          <w:ilvl w:val="0"/>
          <w:numId w:val="19"/>
        </w:numPr>
      </w:pPr>
      <w:r>
        <w:t xml:space="preserve">Y. Yorozu, M. Hirano, K. Oka, and Y. Tagawa, “Electron spectroscopy studies on magneto-optical media and plastic substrate interfaces (Translation Journals style),” </w:t>
      </w:r>
      <w:r w:rsidR="00896E78">
        <w:rPr>
          <w:i/>
          <w:iCs/>
        </w:rPr>
        <w:t>IISJ</w:t>
      </w:r>
      <w:r>
        <w:rPr>
          <w:i/>
          <w:iCs/>
        </w:rPr>
        <w:t xml:space="preserve"> Transl. J. Magn.Jpn.</w:t>
      </w:r>
      <w:r>
        <w:t>, vol. 2, Aug. 1987, pp. 740–741 [</w:t>
      </w:r>
      <w:r>
        <w:rPr>
          <w:i/>
          <w:iCs/>
        </w:rPr>
        <w:t>Dig. 9</w:t>
      </w:r>
      <w:r>
        <w:rPr>
          <w:i/>
          <w:iCs/>
          <w:vertAlign w:val="superscript"/>
        </w:rPr>
        <w:t>th</w:t>
      </w:r>
      <w:r>
        <w:rPr>
          <w:i/>
          <w:iCs/>
        </w:rPr>
        <w:t xml:space="preserve"> Annu. Conf. Magnetics</w:t>
      </w:r>
      <w:r>
        <w:t xml:space="preserve"> Japan, 1982, p. 301].</w:t>
      </w:r>
    </w:p>
    <w:p w14:paraId="1189F812" w14:textId="77777777" w:rsidR="00E97402" w:rsidRDefault="00E97402">
      <w:pPr>
        <w:pStyle w:val="References"/>
        <w:numPr>
          <w:ilvl w:val="0"/>
          <w:numId w:val="19"/>
        </w:numPr>
      </w:pPr>
      <w:r>
        <w:t xml:space="preserve">M. Young, </w:t>
      </w:r>
      <w:r>
        <w:rPr>
          <w:i/>
          <w:iCs/>
        </w:rPr>
        <w:t>The Techincal Writers Handbook.</w:t>
      </w:r>
      <w:r>
        <w:t xml:space="preserve">  Mill Valley, CA: University Science, 1989.</w:t>
      </w:r>
    </w:p>
    <w:p w14:paraId="74FE84C1" w14:textId="77777777" w:rsidR="00E97402" w:rsidRDefault="00E97402">
      <w:pPr>
        <w:numPr>
          <w:ilvl w:val="0"/>
          <w:numId w:val="19"/>
        </w:numPr>
        <w:rPr>
          <w:sz w:val="16"/>
          <w:szCs w:val="16"/>
        </w:rPr>
      </w:pPr>
      <w:r>
        <w:rPr>
          <w:sz w:val="16"/>
          <w:szCs w:val="16"/>
        </w:rPr>
        <w:t xml:space="preserve">J. U. Duncombe, “Infrared navigation—Part I: An assessment of feasibility (Periodical style),” </w:t>
      </w:r>
      <w:r w:rsidR="00896E78">
        <w:rPr>
          <w:i/>
          <w:iCs/>
          <w:sz w:val="16"/>
          <w:szCs w:val="16"/>
        </w:rPr>
        <w:t>IISJ</w:t>
      </w:r>
      <w:r>
        <w:rPr>
          <w:i/>
          <w:iCs/>
          <w:sz w:val="16"/>
          <w:szCs w:val="16"/>
        </w:rPr>
        <w:t xml:space="preserve"> Trans. Electron Devices</w:t>
      </w:r>
      <w:r>
        <w:rPr>
          <w:sz w:val="16"/>
          <w:szCs w:val="16"/>
        </w:rPr>
        <w:t>, vol. ED-11, pp. 34–39, Jan. 1959.</w:t>
      </w:r>
    </w:p>
    <w:p w14:paraId="6337E57C" w14:textId="77777777" w:rsidR="00E97402" w:rsidRDefault="00E97402">
      <w:pPr>
        <w:numPr>
          <w:ilvl w:val="0"/>
          <w:numId w:val="19"/>
        </w:numPr>
        <w:rPr>
          <w:sz w:val="16"/>
          <w:szCs w:val="16"/>
        </w:rPr>
      </w:pPr>
      <w:r>
        <w:rPr>
          <w:sz w:val="16"/>
          <w:szCs w:val="16"/>
        </w:rPr>
        <w:tab/>
        <w:t xml:space="preserve">S. Chen, B. Mulgrew, and P. M. Grant, “A clustering technique for digital communications channel equalization using radial basis function networks,” </w:t>
      </w:r>
      <w:r w:rsidR="00896E78">
        <w:rPr>
          <w:i/>
          <w:iCs/>
          <w:sz w:val="16"/>
          <w:szCs w:val="16"/>
        </w:rPr>
        <w:t>IISJ</w:t>
      </w:r>
      <w:r>
        <w:rPr>
          <w:i/>
          <w:iCs/>
          <w:sz w:val="16"/>
          <w:szCs w:val="16"/>
        </w:rPr>
        <w:t xml:space="preserve"> Trans. Neural Networks</w:t>
      </w:r>
      <w:r>
        <w:rPr>
          <w:sz w:val="16"/>
          <w:szCs w:val="16"/>
        </w:rPr>
        <w:t>, vol. 4, pp. 570–578, Jul. 1993.</w:t>
      </w:r>
    </w:p>
    <w:p w14:paraId="726BAC2C" w14:textId="77777777" w:rsidR="00E97402" w:rsidRDefault="00E97402">
      <w:pPr>
        <w:numPr>
          <w:ilvl w:val="0"/>
          <w:numId w:val="19"/>
        </w:numPr>
        <w:rPr>
          <w:sz w:val="16"/>
          <w:szCs w:val="16"/>
        </w:rPr>
      </w:pPr>
      <w:r>
        <w:rPr>
          <w:sz w:val="16"/>
          <w:szCs w:val="16"/>
        </w:rPr>
        <w:t xml:space="preserve">R. W. Lucky, “Automatic equalization for digital communication,” </w:t>
      </w:r>
      <w:r>
        <w:rPr>
          <w:i/>
          <w:iCs/>
          <w:sz w:val="16"/>
          <w:szCs w:val="16"/>
        </w:rPr>
        <w:t>Bell Syst. Tech. J.</w:t>
      </w:r>
      <w:r>
        <w:rPr>
          <w:sz w:val="16"/>
          <w:szCs w:val="16"/>
        </w:rPr>
        <w:t>, vol. 44, no. 4, pp. 547–588, Apr. 1965.</w:t>
      </w:r>
    </w:p>
    <w:p w14:paraId="27B903EE" w14:textId="77777777" w:rsidR="00E97402" w:rsidRDefault="00E97402">
      <w:pPr>
        <w:numPr>
          <w:ilvl w:val="0"/>
          <w:numId w:val="19"/>
        </w:numPr>
        <w:rPr>
          <w:sz w:val="16"/>
          <w:szCs w:val="16"/>
        </w:rPr>
      </w:pPr>
      <w:r>
        <w:rPr>
          <w:sz w:val="16"/>
          <w:szCs w:val="16"/>
        </w:rPr>
        <w:t xml:space="preserve">S. P. Bingulac, “On the compatibility of adaptive controllers (Published Conference Proceedings style),” in </w:t>
      </w:r>
      <w:r>
        <w:rPr>
          <w:i/>
          <w:iCs/>
          <w:sz w:val="16"/>
          <w:szCs w:val="16"/>
        </w:rPr>
        <w:t>Proc. 4th Annu. Allerton Conf. Circuits and Systems Theory</w:t>
      </w:r>
      <w:r>
        <w:rPr>
          <w:sz w:val="16"/>
          <w:szCs w:val="16"/>
        </w:rPr>
        <w:t>, New York, 1994, pp. 8–16.</w:t>
      </w:r>
    </w:p>
    <w:p w14:paraId="7FD8832B" w14:textId="77777777" w:rsidR="00E97402" w:rsidRDefault="00E97402">
      <w:pPr>
        <w:numPr>
          <w:ilvl w:val="0"/>
          <w:numId w:val="19"/>
        </w:numPr>
        <w:rPr>
          <w:sz w:val="16"/>
          <w:szCs w:val="16"/>
        </w:rPr>
      </w:pPr>
      <w:r>
        <w:rPr>
          <w:sz w:val="16"/>
          <w:szCs w:val="16"/>
        </w:rPr>
        <w:t xml:space="preserve">G. R. Faulhaber, “Design of service systems with priority reservation,” in </w:t>
      </w:r>
      <w:r>
        <w:rPr>
          <w:i/>
          <w:iCs/>
          <w:sz w:val="16"/>
          <w:szCs w:val="16"/>
        </w:rPr>
        <w:t xml:space="preserve">Conf. Rec. 1995 </w:t>
      </w:r>
      <w:r w:rsidR="00896E78">
        <w:rPr>
          <w:i/>
          <w:iCs/>
          <w:sz w:val="16"/>
          <w:szCs w:val="16"/>
        </w:rPr>
        <w:t>IISJ</w:t>
      </w:r>
      <w:r>
        <w:rPr>
          <w:i/>
          <w:iCs/>
          <w:sz w:val="16"/>
          <w:szCs w:val="16"/>
        </w:rPr>
        <w:t xml:space="preserve"> Int. Conf. Communications,</w:t>
      </w:r>
      <w:r>
        <w:rPr>
          <w:sz w:val="16"/>
          <w:szCs w:val="16"/>
        </w:rPr>
        <w:t xml:space="preserve"> pp. 3–8.</w:t>
      </w:r>
    </w:p>
    <w:p w14:paraId="302D144A" w14:textId="77777777" w:rsidR="00E97402" w:rsidRDefault="00E97402">
      <w:pPr>
        <w:numPr>
          <w:ilvl w:val="0"/>
          <w:numId w:val="19"/>
        </w:numPr>
        <w:rPr>
          <w:sz w:val="16"/>
          <w:szCs w:val="16"/>
        </w:rPr>
      </w:pPr>
      <w:r>
        <w:rPr>
          <w:sz w:val="16"/>
          <w:szCs w:val="16"/>
        </w:rPr>
        <w:t xml:space="preserve">W. D. Doyle, “Magnetization reversal in films with biaxial anisotropy,” in </w:t>
      </w:r>
      <w:r>
        <w:rPr>
          <w:i/>
          <w:iCs/>
          <w:sz w:val="16"/>
          <w:szCs w:val="16"/>
        </w:rPr>
        <w:t>1987 Proc. INTERMAG Conf.</w:t>
      </w:r>
      <w:r>
        <w:rPr>
          <w:sz w:val="16"/>
          <w:szCs w:val="16"/>
        </w:rPr>
        <w:t>, pp. 2.2-1–2.2-6.</w:t>
      </w:r>
    </w:p>
    <w:p w14:paraId="4C702489" w14:textId="77777777" w:rsidR="00E97402" w:rsidRDefault="00E97402">
      <w:pPr>
        <w:numPr>
          <w:ilvl w:val="0"/>
          <w:numId w:val="19"/>
        </w:numPr>
      </w:pPr>
      <w:r>
        <w:rPr>
          <w:sz w:val="16"/>
          <w:szCs w:val="16"/>
        </w:rPr>
        <w:t xml:space="preserve">G. W. Juette and L. E. Zeffanella, “Radio noise currents n short sections on bundle conductors (Presented Conference Paper style),” presented at </w:t>
      </w:r>
      <w:r>
        <w:rPr>
          <w:sz w:val="16"/>
          <w:szCs w:val="16"/>
        </w:rPr>
        <w:t xml:space="preserve">the </w:t>
      </w:r>
      <w:r w:rsidR="00896E78">
        <w:rPr>
          <w:sz w:val="16"/>
          <w:szCs w:val="16"/>
        </w:rPr>
        <w:t>IISJ</w:t>
      </w:r>
      <w:r>
        <w:rPr>
          <w:sz w:val="16"/>
          <w:szCs w:val="16"/>
        </w:rPr>
        <w:t xml:space="preserve"> Summer power Meeting, Dallas, TX, Jun. 22–27, 1990, Paper 90 SM 690-0 PWRS.</w:t>
      </w:r>
    </w:p>
    <w:p w14:paraId="05368AD1" w14:textId="77777777" w:rsidR="00E97402" w:rsidRDefault="00E97402">
      <w:pPr>
        <w:pStyle w:val="References"/>
        <w:numPr>
          <w:ilvl w:val="0"/>
          <w:numId w:val="19"/>
        </w:numPr>
      </w:pPr>
      <w:r>
        <w:t>J. G. Kreifeldt, “An analysis of surface-detected EMG as an amplitude-modulated noise,” presented at the 1989 Int. Conf. Medicine and Biological Engineering, Chicago, IL.</w:t>
      </w:r>
    </w:p>
    <w:p w14:paraId="18782EBF" w14:textId="77777777" w:rsidR="00E97402" w:rsidRDefault="00E97402">
      <w:pPr>
        <w:pStyle w:val="References"/>
        <w:numPr>
          <w:ilvl w:val="0"/>
          <w:numId w:val="19"/>
        </w:numPr>
      </w:pPr>
      <w:r>
        <w:t xml:space="preserve">J. Williams, “Narrow-band analyzer (Thesis or Dissertation style),” Ph.D. dissertation, Dept. Elect. Eng., Harvard Univ., Cambridge, MA, 1993. </w:t>
      </w:r>
    </w:p>
    <w:p w14:paraId="55A61F6A" w14:textId="77777777" w:rsidR="00E97402" w:rsidRDefault="00E97402">
      <w:pPr>
        <w:pStyle w:val="References"/>
        <w:numPr>
          <w:ilvl w:val="0"/>
          <w:numId w:val="19"/>
        </w:numPr>
      </w:pPr>
      <w:r>
        <w:t>N. Kawasaki, “Parametric study of thermal and chemical nonequilibrium nozzle flow,” M.S. thesis, Dept. Electron. Eng., Osaka Univ., Osaka, Japan, 1993.</w:t>
      </w:r>
    </w:p>
    <w:p w14:paraId="61101107" w14:textId="77777777" w:rsidR="00E97402" w:rsidRDefault="00E97402">
      <w:pPr>
        <w:pStyle w:val="References"/>
        <w:numPr>
          <w:ilvl w:val="0"/>
          <w:numId w:val="19"/>
        </w:numPr>
      </w:pPr>
      <w:r>
        <w:t xml:space="preserve">J. P. Wilkinson, “Nonlinear resonant circuit devices (Patent style),” U.S. Patent 3 624 12, July 16, 1990. </w:t>
      </w:r>
    </w:p>
    <w:p w14:paraId="406A2C7C" w14:textId="77777777" w:rsidR="00E97402" w:rsidRDefault="00896E78">
      <w:pPr>
        <w:pStyle w:val="References"/>
        <w:numPr>
          <w:ilvl w:val="0"/>
          <w:numId w:val="19"/>
        </w:numPr>
      </w:pPr>
      <w:r>
        <w:rPr>
          <w:i/>
          <w:iCs/>
        </w:rPr>
        <w:t>IISJ</w:t>
      </w:r>
      <w:r w:rsidR="00E97402">
        <w:rPr>
          <w:i/>
          <w:iCs/>
        </w:rPr>
        <w:t xml:space="preserve"> Criteria for Class IE Electric Systems </w:t>
      </w:r>
      <w:r w:rsidR="00E97402">
        <w:t>(Standards style)</w:t>
      </w:r>
      <w:r w:rsidR="00E97402">
        <w:rPr>
          <w:i/>
          <w:iCs/>
        </w:rPr>
        <w:t>,</w:t>
      </w:r>
      <w:r w:rsidR="00E97402">
        <w:t xml:space="preserve"> </w:t>
      </w:r>
      <w:r>
        <w:t>IISJ</w:t>
      </w:r>
      <w:r w:rsidR="00E97402">
        <w:t xml:space="preserve"> Standard 308, 1969.</w:t>
      </w:r>
    </w:p>
    <w:p w14:paraId="44395CF3" w14:textId="77777777" w:rsidR="00E97402" w:rsidRDefault="00E97402">
      <w:pPr>
        <w:pStyle w:val="References"/>
        <w:numPr>
          <w:ilvl w:val="0"/>
          <w:numId w:val="19"/>
        </w:numPr>
      </w:pPr>
      <w:r>
        <w:rPr>
          <w:i/>
          <w:iCs/>
        </w:rPr>
        <w:t>Letter Symbols for Quantities</w:t>
      </w:r>
      <w:r>
        <w:t>, ANSI Standard Y10.5-1968.</w:t>
      </w:r>
    </w:p>
    <w:p w14:paraId="67AFB030" w14:textId="77777777" w:rsidR="00E97402" w:rsidRDefault="00E97402">
      <w:pPr>
        <w:pStyle w:val="References"/>
        <w:numPr>
          <w:ilvl w:val="0"/>
          <w:numId w:val="19"/>
        </w:numPr>
      </w:pPr>
      <w:r>
        <w:t>R. E. Haskell and C. T. Case, “Transient signal propagation in lossless isotropic plasmas (Report style),” USAF Cambridge Res. Lab., Cambridge, MA Rep. ARCRL-66-234 (II), 1994, vol. 2.</w:t>
      </w:r>
    </w:p>
    <w:p w14:paraId="5A072071" w14:textId="77777777" w:rsidR="00E97402" w:rsidRDefault="00E97402">
      <w:pPr>
        <w:pStyle w:val="References"/>
        <w:numPr>
          <w:ilvl w:val="0"/>
          <w:numId w:val="19"/>
        </w:numPr>
      </w:pPr>
      <w:r>
        <w:t>E. E. Reber, R. L. Michell, and C. J. Carter, “Oxygen absorption in the Earth’s atmosphere,” Aerospace Corp., Los Angeles, CA, Tech. Rep. TR-0200 (420-46)-3, Nov. 1988.</w:t>
      </w:r>
    </w:p>
    <w:p w14:paraId="5E746451" w14:textId="77777777" w:rsidR="00E97402" w:rsidRDefault="00E97402">
      <w:pPr>
        <w:pStyle w:val="References"/>
        <w:numPr>
          <w:ilvl w:val="0"/>
          <w:numId w:val="19"/>
        </w:numPr>
      </w:pPr>
      <w:r>
        <w:t xml:space="preserve">(Handbook style) </w:t>
      </w:r>
      <w:r>
        <w:rPr>
          <w:i/>
          <w:iCs/>
        </w:rPr>
        <w:t>Transmission Systems for Communications,</w:t>
      </w:r>
      <w:r>
        <w:t xml:space="preserve"> 3rd ed., Western Electric Co., Winston-Salem, NC, 1985, pp. 44–60.</w:t>
      </w:r>
    </w:p>
    <w:p w14:paraId="32396C64" w14:textId="77777777" w:rsidR="00E97402" w:rsidRDefault="00E97402">
      <w:pPr>
        <w:pStyle w:val="References"/>
        <w:numPr>
          <w:ilvl w:val="0"/>
          <w:numId w:val="19"/>
        </w:numPr>
      </w:pPr>
      <w:r>
        <w:tab/>
      </w:r>
      <w:r>
        <w:rPr>
          <w:i/>
          <w:iCs/>
        </w:rPr>
        <w:t>Motorola Semiconductor Data Manual,</w:t>
      </w:r>
      <w:r>
        <w:t xml:space="preserve"> Motorola Semiconductor Products Inc., Phoenix, AZ, 1989.</w:t>
      </w:r>
    </w:p>
    <w:p w14:paraId="6000008F" w14:textId="77777777" w:rsidR="00E97402" w:rsidRDefault="00E97402">
      <w:pPr>
        <w:pStyle w:val="References"/>
        <w:numPr>
          <w:ilvl w:val="0"/>
          <w:numId w:val="19"/>
        </w:numPr>
      </w:pPr>
      <w:r>
        <w:t xml:space="preserve">(Basic Book/Monograph Online Sources) J. K. Author. (year, month, day). </w:t>
      </w:r>
      <w:r>
        <w:rPr>
          <w:i/>
          <w:iCs/>
        </w:rPr>
        <w:t>Title</w:t>
      </w:r>
      <w:r>
        <w:t xml:space="preserve"> (edition) [Type of medium]. Volume (issue).</w:t>
      </w:r>
      <w:r>
        <w:tab/>
        <w:t xml:space="preserve"> Available: </w:t>
      </w:r>
      <w:hyperlink r:id="rId14" w:history="1">
        <w:r>
          <w:rPr>
            <w:rStyle w:val="Hyperlink"/>
          </w:rPr>
          <w:t>http://www.(URL</w:t>
        </w:r>
      </w:hyperlink>
      <w:r>
        <w:t>)</w:t>
      </w:r>
    </w:p>
    <w:p w14:paraId="7B224BAE" w14:textId="77777777" w:rsidR="00E97402" w:rsidRDefault="00E97402">
      <w:pPr>
        <w:pStyle w:val="References"/>
        <w:numPr>
          <w:ilvl w:val="0"/>
          <w:numId w:val="19"/>
        </w:numPr>
      </w:pPr>
      <w:r>
        <w:t xml:space="preserve">J. Jones. (1991, May 10). Networks (2nd ed.) [Online]. Available: </w:t>
      </w:r>
      <w:hyperlink r:id="rId15" w:history="1">
        <w:r>
          <w:rPr>
            <w:rStyle w:val="Hyperlink"/>
          </w:rPr>
          <w:t>http://www.atm.com</w:t>
        </w:r>
      </w:hyperlink>
    </w:p>
    <w:p w14:paraId="6DBE5B54" w14:textId="77777777" w:rsidR="00E97402" w:rsidRDefault="00E97402">
      <w:pPr>
        <w:pStyle w:val="References"/>
        <w:numPr>
          <w:ilvl w:val="0"/>
          <w:numId w:val="19"/>
        </w:numPr>
      </w:pPr>
      <w:r>
        <w:t xml:space="preserve">(Journal Online Sources style) K. Author. (year, month). Title. </w:t>
      </w:r>
      <w:r>
        <w:rPr>
          <w:i/>
          <w:iCs/>
        </w:rPr>
        <w:t>Journal</w:t>
      </w:r>
      <w:r>
        <w:t xml:space="preserve"> [Type of medium]. Volume(issue), paging if given.</w:t>
      </w:r>
      <w:r>
        <w:tab/>
        <w:t xml:space="preserve">  Available: </w:t>
      </w:r>
      <w:hyperlink r:id="rId16" w:history="1">
        <w:r>
          <w:rPr>
            <w:rStyle w:val="Hyperlink"/>
          </w:rPr>
          <w:t>http://www.(URL</w:t>
        </w:r>
      </w:hyperlink>
      <w:r>
        <w:t>)</w:t>
      </w:r>
    </w:p>
    <w:p w14:paraId="3AC28ECA" w14:textId="77777777" w:rsidR="00E97402" w:rsidRDefault="00E97402">
      <w:pPr>
        <w:pStyle w:val="References"/>
        <w:numPr>
          <w:ilvl w:val="0"/>
          <w:numId w:val="19"/>
        </w:numPr>
      </w:pPr>
      <w:r>
        <w:t xml:space="preserve">R. J. Vidmar. (1992, August). On the use of atmospheric plasmas as electromagnetic reflectors. </w:t>
      </w:r>
      <w:r w:rsidR="00896E78">
        <w:rPr>
          <w:i/>
          <w:iCs/>
        </w:rPr>
        <w:t>IISJ</w:t>
      </w:r>
      <w:r>
        <w:rPr>
          <w:i/>
          <w:iCs/>
        </w:rPr>
        <w:t xml:space="preserve"> Trans. Plasma Sci.</w:t>
      </w:r>
      <w:r>
        <w:t xml:space="preserve"> [Online]. </w:t>
      </w:r>
      <w:r>
        <w:rPr>
          <w:i/>
          <w:iCs/>
        </w:rPr>
        <w:t>21(3).</w:t>
      </w:r>
      <w:r>
        <w:t xml:space="preserve"> pp. 876–880.   Available: http://www.halcyon.com/pub/journals/21ps03-vidmar</w:t>
      </w:r>
    </w:p>
    <w:p w14:paraId="54ECBD2A" w14:textId="77777777" w:rsidR="00E97402" w:rsidRDefault="00E97402">
      <w:pPr>
        <w:pStyle w:val="FigureCaption"/>
        <w:rPr>
          <w:b/>
          <w:bCs/>
        </w:rPr>
      </w:pPr>
    </w:p>
    <w:p w14:paraId="1921CFAC" w14:textId="77777777" w:rsidR="00E97402" w:rsidRDefault="00E97402">
      <w:pPr>
        <w:pStyle w:val="FigureCaption"/>
        <w:rPr>
          <w:b/>
          <w:bCs/>
        </w:rPr>
      </w:pPr>
    </w:p>
    <w:p w14:paraId="4128C40A" w14:textId="17910B94" w:rsidR="00E97402" w:rsidRDefault="008672A6">
      <w:pPr>
        <w:pStyle w:val="FigureCaption"/>
        <w:rPr>
          <w:b/>
          <w:bCs/>
        </w:rPr>
      </w:pPr>
      <w:r>
        <w:rPr>
          <w:b/>
          <w:bCs/>
        </w:rPr>
        <w:t xml:space="preserve">ALL </w:t>
      </w:r>
      <w:r w:rsidR="00C10637">
        <w:rPr>
          <w:b/>
          <w:bCs/>
        </w:rPr>
        <w:t xml:space="preserve">Authors </w:t>
      </w:r>
      <w:r>
        <w:rPr>
          <w:b/>
          <w:bCs/>
        </w:rPr>
        <w:t>B</w:t>
      </w:r>
      <w:r w:rsidR="00C10637">
        <w:rPr>
          <w:b/>
          <w:bCs/>
        </w:rPr>
        <w:t>io’s</w:t>
      </w:r>
      <w:r>
        <w:rPr>
          <w:b/>
          <w:bCs/>
        </w:rPr>
        <w:t xml:space="preserve"> ARE REQUIRED </w:t>
      </w:r>
    </w:p>
    <w:p w14:paraId="53F58335" w14:textId="77777777" w:rsidR="00E97402" w:rsidRDefault="00E97402">
      <w:pPr>
        <w:pStyle w:val="FigureCaption"/>
        <w:rPr>
          <w:b/>
          <w:bCs/>
        </w:rPr>
      </w:pPr>
    </w:p>
    <w:p w14:paraId="0CB75E5A" w14:textId="77777777" w:rsidR="00E97402" w:rsidRDefault="00E97402">
      <w:pPr>
        <w:pStyle w:val="FigureCaption"/>
        <w:rPr>
          <w:b/>
          <w:bCs/>
        </w:rPr>
      </w:pPr>
    </w:p>
    <w:p w14:paraId="71AB4ADB" w14:textId="77777777" w:rsidR="00E97402" w:rsidRDefault="00E97402">
      <w:pPr>
        <w:pStyle w:val="FigureCaption"/>
      </w:pPr>
      <w:r>
        <w:rPr>
          <w:b/>
          <w:bCs/>
        </w:rPr>
        <w:t>First A. Author</w:t>
      </w:r>
      <w:r>
        <w:t xml:space="preserve"> (M’76–SM’81–F’87) and the other authors may include biographies at the end of regular papers. Biographies are often not included in conference-related papers. This author became a Member (M) of </w:t>
      </w:r>
      <w:r w:rsidR="00896E78">
        <w:t>IISJ</w:t>
      </w:r>
      <w:r>
        <w:t xml:space="preserve"> in 1976, a Senior Member (SM) in 1981, and a Fellow (F) in 1987.  The first paragraph may contain a place and/or date of birth (list place, then date). Next, the author’s educational background is listed. The degrees should be listed with type of degree in what field, which institution, city, state, and country, and year degree was earned. The author’s major field of study should be lower-cased.</w:t>
      </w:r>
    </w:p>
    <w:p w14:paraId="53639B2F" w14:textId="77777777" w:rsidR="00E97402" w:rsidRDefault="00E97402">
      <w:pPr>
        <w:pStyle w:val="FigureCaption"/>
      </w:pPr>
      <w:r>
        <w:tab/>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14:paraId="2F453C02" w14:textId="77777777" w:rsidR="00E97402" w:rsidRDefault="00E97402">
      <w:pPr>
        <w:pStyle w:val="FigureCaption"/>
      </w:pPr>
      <w:r>
        <w:tab/>
        <w:t xml:space="preserve">The third paragraph begins with the author’s title and last name (e.g., Dr. Smith, Prof. Jones, Mr. Kajor, Ms. Hunter). List any memberships in professional societies other than the </w:t>
      </w:r>
      <w:r w:rsidR="00896E78">
        <w:t>IISJ</w:t>
      </w:r>
      <w:r>
        <w:t xml:space="preserve">. Finally, list any awards and work for </w:t>
      </w:r>
      <w:r w:rsidR="00896E78">
        <w:t>IISJ</w:t>
      </w:r>
      <w:r>
        <w:t xml:space="preserve"> committees and publications.  If a photograph is provided, the biography will be indented around it. The photograph is placed at the top left of the biography. Personal hobbies will be deleted from the biography.</w:t>
      </w:r>
    </w:p>
    <w:sectPr w:rsidR="00E97402" w:rsidSect="00050A8C">
      <w:headerReference w:type="even" r:id="rId17"/>
      <w:headerReference w:type="default" r:id="rId18"/>
      <w:headerReference w:type="first" r:id="rId19"/>
      <w:pgSz w:w="12240" w:h="15840" w:code="1"/>
      <w:pgMar w:top="1008" w:right="936" w:bottom="1008" w:left="936" w:header="432" w:footer="432" w:gutter="0"/>
      <w:cols w:num="2"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5FFD3C" w14:textId="77777777" w:rsidR="00B1257F" w:rsidRDefault="00B1257F">
      <w:r>
        <w:separator/>
      </w:r>
    </w:p>
  </w:endnote>
  <w:endnote w:type="continuationSeparator" w:id="0">
    <w:p w14:paraId="0492BC82" w14:textId="77777777" w:rsidR="00B1257F" w:rsidRDefault="00B1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panose1 w:val="02020502070401020303"/>
    <w:charset w:val="00"/>
    <w:family w:val="roman"/>
    <w:pitch w:val="variable"/>
    <w:sig w:usb0="80000067" w:usb1="02000000"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A45236" w14:textId="77777777" w:rsidR="00B1257F" w:rsidRDefault="00B1257F"/>
  </w:footnote>
  <w:footnote w:type="continuationSeparator" w:id="0">
    <w:p w14:paraId="7EFD087A" w14:textId="77777777" w:rsidR="00B1257F" w:rsidRDefault="00B1257F">
      <w:r>
        <w:continuationSeparator/>
      </w:r>
    </w:p>
  </w:footnote>
  <w:footnote w:id="1">
    <w:p w14:paraId="09E091FF" w14:textId="77777777" w:rsidR="00E97402" w:rsidRDefault="00E97402">
      <w:pPr>
        <w:pStyle w:val="FootnoteText"/>
      </w:pPr>
      <w:r>
        <w:t>Manuscript received October 9, 2001. (Write the date on which you submitted your paper for review.) This work was supported in part by the U.S. Depart</w:t>
      </w:r>
      <w:r>
        <w:softHyphen/>
        <w:t>ment of Com</w:t>
      </w:r>
      <w:r>
        <w:softHyphen/>
        <w:t xml:space="preserve">merce under Grant BS123456 (sponsor and financial support acknowledgment goes here). Paper titles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w:t>
      </w:r>
    </w:p>
    <w:p w14:paraId="074D9CF6" w14:textId="77777777" w:rsidR="00E97402" w:rsidRDefault="00E97402">
      <w:pPr>
        <w:pStyle w:val="FootnoteText"/>
      </w:pPr>
      <w:r>
        <w:t xml:space="preserve">F. A. Author is with the National Institute of Standards and Technology, Boulder, CO 80305 USA (corresponding author to provide phone: 303-555-5555; fax: 303-555-5555; e-mail: author@ boulder.nist.gov). </w:t>
      </w:r>
    </w:p>
    <w:p w14:paraId="478B3B1F" w14:textId="77777777" w:rsidR="00E97402" w:rsidRDefault="00E97402">
      <w:pPr>
        <w:pStyle w:val="FootnoteText"/>
      </w:pPr>
      <w:r>
        <w:t>S. B. Author, Jr., was with Rice University, Houston, TX 77005 USA. He is now with the Department of Physics, Colorado State University, Fort Collins, CO 80523 USA (e-mail: author@lamar.colostate.edu).</w:t>
      </w:r>
    </w:p>
    <w:p w14:paraId="4367DF1D" w14:textId="77777777" w:rsidR="00E97402" w:rsidRDefault="00E97402">
      <w:pPr>
        <w:pStyle w:val="FootnoteText"/>
      </w:pPr>
      <w:r>
        <w:t>T. C. Author is with the Electrical Engineering Department, University of Colorado, Boulder, CO 80309 USA, on leave from the National Research Institute for Metals, Tsukuba, Japan (e-mail: author@nrim.go.jp).</w:t>
      </w:r>
    </w:p>
  </w:footnote>
  <w:footnote w:id="2">
    <w:p w14:paraId="02E746FD" w14:textId="77777777" w:rsidR="00E97402" w:rsidRDefault="00E97402">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A3AAD8" w14:textId="36D51475" w:rsidR="00050A8C" w:rsidRDefault="00050A8C" w:rsidP="00352E7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78721188" w14:textId="77777777" w:rsidR="00050A8C" w:rsidRDefault="00050A8C" w:rsidP="00050A8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50516" w14:textId="250A2E58" w:rsidR="00050A8C" w:rsidRDefault="00050A8C" w:rsidP="00352E7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4E09B10" w14:textId="5C6AB571" w:rsidR="00050A8C" w:rsidRPr="00050A8C" w:rsidRDefault="00B038B9" w:rsidP="00B038B9">
    <w:pPr>
      <w:pStyle w:val="p1"/>
      <w:spacing w:line="276" w:lineRule="auto"/>
      <w:ind w:right="360"/>
      <w:jc w:val="center"/>
      <w:rPr>
        <w:rFonts w:ascii="Arial" w:hAnsi="Arial" w:cs="Arial"/>
        <w:sz w:val="16"/>
        <w:szCs w:val="16"/>
      </w:rPr>
    </w:pPr>
    <w:r w:rsidRPr="00050A8C">
      <w:rPr>
        <w:rFonts w:ascii="Arial" w:hAnsi="Arial" w:cs="Arial"/>
        <w:sz w:val="16"/>
        <w:szCs w:val="16"/>
      </w:rPr>
      <w:t>International Institute for Sustainability (IIS) Journal, Volume ( ), Issue ( ) , pp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889ED5" w14:textId="2B814616" w:rsidR="00050A8C" w:rsidRDefault="00050A8C" w:rsidP="00352E7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7FB73E" w14:textId="77777777" w:rsidR="00050A8C" w:rsidRPr="00050A8C" w:rsidRDefault="00050A8C" w:rsidP="00050A8C">
    <w:pPr>
      <w:pStyle w:val="p1"/>
      <w:spacing w:line="276" w:lineRule="auto"/>
      <w:ind w:right="360"/>
      <w:jc w:val="center"/>
      <w:rPr>
        <w:rFonts w:ascii="Arial" w:hAnsi="Arial" w:cs="Arial"/>
        <w:sz w:val="16"/>
        <w:szCs w:val="16"/>
      </w:rPr>
    </w:pPr>
    <w:r w:rsidRPr="00050A8C">
      <w:rPr>
        <w:rFonts w:ascii="Arial" w:hAnsi="Arial" w:cs="Arial"/>
        <w:sz w:val="16"/>
        <w:szCs w:val="16"/>
      </w:rPr>
      <w:t>International Institute for Sustainability (IIS) Journal, Volume ( ), Issue ( ) , pp ( )</w:t>
    </w:r>
  </w:p>
  <w:tbl>
    <w:tblPr>
      <w:tblW w:w="9923" w:type="dxa"/>
      <w:jc w:val="center"/>
      <w:tblBorders>
        <w:bottom w:val="single" w:sz="36" w:space="0" w:color="auto"/>
      </w:tblBorders>
      <w:shd w:val="pct10" w:color="F2F2F2" w:fill="auto"/>
      <w:tblLayout w:type="fixed"/>
      <w:tblLook w:val="04A0" w:firstRow="1" w:lastRow="0" w:firstColumn="1" w:lastColumn="0" w:noHBand="0" w:noVBand="1"/>
    </w:tblPr>
    <w:tblGrid>
      <w:gridCol w:w="1277"/>
      <w:gridCol w:w="8646"/>
    </w:tblGrid>
    <w:tr w:rsidR="00050A8C" w14:paraId="22CD91D7" w14:textId="77777777" w:rsidTr="00050A8C">
      <w:trPr>
        <w:trHeight w:val="1633"/>
        <w:jc w:val="center"/>
      </w:trPr>
      <w:tc>
        <w:tcPr>
          <w:tcW w:w="1277" w:type="dxa"/>
          <w:tcBorders>
            <w:top w:val="single" w:sz="2" w:space="0" w:color="auto"/>
          </w:tcBorders>
          <w:shd w:val="pct10" w:color="F2F2F2" w:fill="auto"/>
        </w:tcPr>
        <w:p w14:paraId="1AA57D7F" w14:textId="335FE817" w:rsidR="00050A8C" w:rsidRPr="00050A8C" w:rsidRDefault="00B1257F" w:rsidP="00050A8C">
          <w:pPr>
            <w:rPr>
              <w:rFonts w:eastAsia="SimSun"/>
            </w:rPr>
          </w:pPr>
          <w:r>
            <w:rPr>
              <w:noProof/>
            </w:rPr>
            <w:pict w14:anchorId="0B697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 style="position:absolute;margin-left:-1.65pt;margin-top:12.6pt;width:59.85pt;height:59.85pt;z-index:1;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w10:wrap type="through"/>
              </v:shape>
            </w:pict>
          </w:r>
        </w:p>
      </w:tc>
      <w:tc>
        <w:tcPr>
          <w:tcW w:w="8646" w:type="dxa"/>
          <w:tcBorders>
            <w:top w:val="single" w:sz="2" w:space="0" w:color="auto"/>
          </w:tcBorders>
          <w:shd w:val="pct10" w:color="F2F2F2" w:fill="auto"/>
          <w:vAlign w:val="center"/>
        </w:tcPr>
        <w:p w14:paraId="59CC3EE9" w14:textId="77777777" w:rsidR="00050A8C" w:rsidRPr="00050A8C" w:rsidRDefault="00050A8C" w:rsidP="00050A8C">
          <w:pPr>
            <w:jc w:val="center"/>
            <w:rPr>
              <w:rStyle w:val="Hyperlink"/>
              <w:rFonts w:ascii="Arial" w:eastAsia="SimSun" w:hAnsi="Arial" w:cs="Arial"/>
              <w:b/>
              <w:bCs/>
              <w:i/>
              <w:iCs/>
              <w:sz w:val="32"/>
              <w:szCs w:val="32"/>
            </w:rPr>
          </w:pPr>
          <w:r w:rsidRPr="00050A8C">
            <w:rPr>
              <w:rFonts w:ascii="Arial" w:eastAsia="SimSun" w:hAnsi="Arial" w:cs="Arial"/>
              <w:b/>
              <w:bCs/>
              <w:sz w:val="32"/>
              <w:szCs w:val="32"/>
            </w:rPr>
            <w:t>International Institute for Sustainability (IIS) Journal</w:t>
          </w:r>
        </w:p>
        <w:p w14:paraId="0B965F51" w14:textId="77777777" w:rsidR="00050A8C" w:rsidRPr="00050A8C" w:rsidRDefault="00050A8C" w:rsidP="00050A8C">
          <w:pPr>
            <w:pStyle w:val="Header"/>
            <w:jc w:val="center"/>
            <w:rPr>
              <w:rStyle w:val="Hyperlink"/>
              <w:rFonts w:ascii="Arial" w:eastAsia="SimSun" w:hAnsi="Arial" w:cs="Arial"/>
              <w:i/>
              <w:iCs/>
              <w:sz w:val="18"/>
            </w:rPr>
          </w:pPr>
        </w:p>
        <w:p w14:paraId="22D364C5" w14:textId="77777777" w:rsidR="00050A8C" w:rsidRPr="00050A8C" w:rsidRDefault="00050A8C" w:rsidP="00050A8C">
          <w:pPr>
            <w:pStyle w:val="Header"/>
            <w:tabs>
              <w:tab w:val="left" w:pos="6804"/>
            </w:tabs>
            <w:jc w:val="center"/>
            <w:rPr>
              <w:rFonts w:eastAsia="SimSun"/>
              <w:sz w:val="28"/>
              <w:szCs w:val="28"/>
            </w:rPr>
          </w:pPr>
          <w:r w:rsidRPr="00050A8C">
            <w:rPr>
              <w:rFonts w:ascii="Arial" w:eastAsia="SimSun" w:hAnsi="Arial" w:cs="Arial"/>
              <w:iCs/>
              <w:sz w:val="24"/>
              <w:szCs w:val="24"/>
            </w:rPr>
            <w:t>Journal homepage:</w:t>
          </w:r>
          <w:r w:rsidRPr="00050A8C">
            <w:rPr>
              <w:rFonts w:ascii="Arial" w:eastAsia="SimSun" w:hAnsi="Arial" w:cs="Arial"/>
              <w:sz w:val="24"/>
              <w:szCs w:val="24"/>
            </w:rPr>
            <w:t xml:space="preserve"> journal.iisglobal.org</w:t>
          </w:r>
          <w:r w:rsidRPr="00050A8C">
            <w:rPr>
              <w:rFonts w:eastAsia="SimSun"/>
              <w:sz w:val="36"/>
              <w:szCs w:val="36"/>
            </w:rPr>
            <w:t xml:space="preserve">  </w:t>
          </w:r>
          <w:r w:rsidRPr="00050A8C">
            <w:rPr>
              <w:rFonts w:eastAsia="SimSun"/>
              <w:sz w:val="28"/>
              <w:szCs w:val="28"/>
            </w:rPr>
            <w:t>ISSN ( In-Process)</w:t>
          </w:r>
        </w:p>
      </w:tc>
    </w:tr>
  </w:tbl>
  <w:p w14:paraId="2C994EAF" w14:textId="77777777" w:rsidR="00050A8C" w:rsidRDefault="00050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0"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1"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277567144">
    <w:abstractNumId w:val="0"/>
  </w:num>
  <w:num w:numId="2" w16cid:durableId="597832346">
    <w:abstractNumId w:val="4"/>
  </w:num>
  <w:num w:numId="3" w16cid:durableId="2009206799">
    <w:abstractNumId w:val="4"/>
    <w:lvlOverride w:ilvl="0">
      <w:lvl w:ilvl="0">
        <w:start w:val="1"/>
        <w:numFmt w:val="decimal"/>
        <w:lvlText w:val="%1."/>
        <w:legacy w:legacy="1" w:legacySpace="0" w:legacyIndent="360"/>
        <w:lvlJc w:val="left"/>
        <w:pPr>
          <w:ind w:left="360" w:hanging="360"/>
        </w:pPr>
      </w:lvl>
    </w:lvlOverride>
  </w:num>
  <w:num w:numId="4" w16cid:durableId="1273630217">
    <w:abstractNumId w:val="4"/>
    <w:lvlOverride w:ilvl="0">
      <w:lvl w:ilvl="0">
        <w:start w:val="1"/>
        <w:numFmt w:val="decimal"/>
        <w:lvlText w:val="%1."/>
        <w:legacy w:legacy="1" w:legacySpace="0" w:legacyIndent="360"/>
        <w:lvlJc w:val="left"/>
        <w:pPr>
          <w:ind w:left="360" w:hanging="360"/>
        </w:pPr>
      </w:lvl>
    </w:lvlOverride>
  </w:num>
  <w:num w:numId="5" w16cid:durableId="736366997">
    <w:abstractNumId w:val="4"/>
    <w:lvlOverride w:ilvl="0">
      <w:lvl w:ilvl="0">
        <w:start w:val="1"/>
        <w:numFmt w:val="decimal"/>
        <w:lvlText w:val="%1."/>
        <w:legacy w:legacy="1" w:legacySpace="0" w:legacyIndent="360"/>
        <w:lvlJc w:val="left"/>
        <w:pPr>
          <w:ind w:left="360" w:hanging="360"/>
        </w:pPr>
      </w:lvl>
    </w:lvlOverride>
  </w:num>
  <w:num w:numId="6" w16cid:durableId="567956533">
    <w:abstractNumId w:val="7"/>
  </w:num>
  <w:num w:numId="7" w16cid:durableId="1048652579">
    <w:abstractNumId w:val="7"/>
    <w:lvlOverride w:ilvl="0">
      <w:lvl w:ilvl="0">
        <w:start w:val="1"/>
        <w:numFmt w:val="decimal"/>
        <w:lvlText w:val="%1."/>
        <w:legacy w:legacy="1" w:legacySpace="0" w:legacyIndent="360"/>
        <w:lvlJc w:val="left"/>
        <w:pPr>
          <w:ind w:left="360" w:hanging="360"/>
        </w:pPr>
      </w:lvl>
    </w:lvlOverride>
  </w:num>
  <w:num w:numId="8" w16cid:durableId="600455334">
    <w:abstractNumId w:val="7"/>
    <w:lvlOverride w:ilvl="0">
      <w:lvl w:ilvl="0">
        <w:start w:val="1"/>
        <w:numFmt w:val="decimal"/>
        <w:lvlText w:val="%1."/>
        <w:legacy w:legacy="1" w:legacySpace="0" w:legacyIndent="360"/>
        <w:lvlJc w:val="left"/>
        <w:pPr>
          <w:ind w:left="360" w:hanging="360"/>
        </w:pPr>
      </w:lvl>
    </w:lvlOverride>
  </w:num>
  <w:num w:numId="9" w16cid:durableId="2045862375">
    <w:abstractNumId w:val="7"/>
    <w:lvlOverride w:ilvl="0">
      <w:lvl w:ilvl="0">
        <w:start w:val="1"/>
        <w:numFmt w:val="decimal"/>
        <w:lvlText w:val="%1."/>
        <w:legacy w:legacy="1" w:legacySpace="0" w:legacyIndent="360"/>
        <w:lvlJc w:val="left"/>
        <w:pPr>
          <w:ind w:left="360" w:hanging="360"/>
        </w:pPr>
      </w:lvl>
    </w:lvlOverride>
  </w:num>
  <w:num w:numId="10" w16cid:durableId="879362376">
    <w:abstractNumId w:val="7"/>
    <w:lvlOverride w:ilvl="0">
      <w:lvl w:ilvl="0">
        <w:start w:val="1"/>
        <w:numFmt w:val="decimal"/>
        <w:lvlText w:val="%1."/>
        <w:legacy w:legacy="1" w:legacySpace="0" w:legacyIndent="360"/>
        <w:lvlJc w:val="left"/>
        <w:pPr>
          <w:ind w:left="360" w:hanging="360"/>
        </w:pPr>
      </w:lvl>
    </w:lvlOverride>
  </w:num>
  <w:num w:numId="11" w16cid:durableId="1705670911">
    <w:abstractNumId w:val="7"/>
    <w:lvlOverride w:ilvl="0">
      <w:lvl w:ilvl="0">
        <w:start w:val="1"/>
        <w:numFmt w:val="decimal"/>
        <w:lvlText w:val="%1."/>
        <w:legacy w:legacy="1" w:legacySpace="0" w:legacyIndent="360"/>
        <w:lvlJc w:val="left"/>
        <w:pPr>
          <w:ind w:left="360" w:hanging="360"/>
        </w:pPr>
      </w:lvl>
    </w:lvlOverride>
  </w:num>
  <w:num w:numId="12" w16cid:durableId="719867305">
    <w:abstractNumId w:val="5"/>
  </w:num>
  <w:num w:numId="13" w16cid:durableId="408966463">
    <w:abstractNumId w:val="1"/>
  </w:num>
  <w:num w:numId="14" w16cid:durableId="331030144">
    <w:abstractNumId w:val="9"/>
  </w:num>
  <w:num w:numId="15" w16cid:durableId="1515462417">
    <w:abstractNumId w:val="8"/>
  </w:num>
  <w:num w:numId="16" w16cid:durableId="76289564">
    <w:abstractNumId w:val="11"/>
  </w:num>
  <w:num w:numId="17" w16cid:durableId="1379473068">
    <w:abstractNumId w:val="3"/>
  </w:num>
  <w:num w:numId="18" w16cid:durableId="1926762193">
    <w:abstractNumId w:val="2"/>
  </w:num>
  <w:num w:numId="19" w16cid:durableId="336345920">
    <w:abstractNumId w:val="10"/>
  </w:num>
  <w:num w:numId="20" w16cid:durableId="139566208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lineWrapLikeWord6/>
    <w:printColBlack/>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035B"/>
    <w:rsid w:val="00050A8C"/>
    <w:rsid w:val="0005448C"/>
    <w:rsid w:val="00134243"/>
    <w:rsid w:val="00144E72"/>
    <w:rsid w:val="0019758C"/>
    <w:rsid w:val="002434A1"/>
    <w:rsid w:val="00243A9F"/>
    <w:rsid w:val="002805D1"/>
    <w:rsid w:val="00360269"/>
    <w:rsid w:val="003A1427"/>
    <w:rsid w:val="0043144F"/>
    <w:rsid w:val="00431BFA"/>
    <w:rsid w:val="004631BC"/>
    <w:rsid w:val="004C1E16"/>
    <w:rsid w:val="0055075D"/>
    <w:rsid w:val="005A1963"/>
    <w:rsid w:val="005A2A15"/>
    <w:rsid w:val="00621BFA"/>
    <w:rsid w:val="00625E96"/>
    <w:rsid w:val="007C4336"/>
    <w:rsid w:val="007E62C6"/>
    <w:rsid w:val="008672A6"/>
    <w:rsid w:val="0087792E"/>
    <w:rsid w:val="00896E78"/>
    <w:rsid w:val="00932BEC"/>
    <w:rsid w:val="00987530"/>
    <w:rsid w:val="009D43DA"/>
    <w:rsid w:val="009F410E"/>
    <w:rsid w:val="00A04B44"/>
    <w:rsid w:val="00A77A47"/>
    <w:rsid w:val="00B038B9"/>
    <w:rsid w:val="00B1257F"/>
    <w:rsid w:val="00BD7199"/>
    <w:rsid w:val="00C10637"/>
    <w:rsid w:val="00CB4B8D"/>
    <w:rsid w:val="00D56935"/>
    <w:rsid w:val="00D758C6"/>
    <w:rsid w:val="00D775E5"/>
    <w:rsid w:val="00DC4785"/>
    <w:rsid w:val="00DF2DDE"/>
    <w:rsid w:val="00E41DCB"/>
    <w:rsid w:val="00E50DF6"/>
    <w:rsid w:val="00E80497"/>
    <w:rsid w:val="00E97402"/>
    <w:rsid w:val="00F65266"/>
    <w:rsid w:val="00F67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1FD0F"/>
  <w15:chartTrackingRefBased/>
  <w15:docId w15:val="{E7A7EAFC-32EE-CD40-AC80-09751925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ind w:left="144"/>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aliases w:val="page-numb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p1">
    <w:name w:val="p1"/>
    <w:basedOn w:val="Normal"/>
    <w:rsid w:val="00050A8C"/>
    <w:pPr>
      <w:autoSpaceDE/>
      <w:autoSpaceDN/>
    </w:pPr>
    <w:rPr>
      <w:rFonts w:ascii="Helvetica" w:hAnsi="Helvetica"/>
      <w:color w:val="000000"/>
      <w:sz w:val="12"/>
      <w:szCs w:val="12"/>
    </w:rPr>
  </w:style>
  <w:style w:type="character" w:customStyle="1" w:styleId="HeaderChar">
    <w:name w:val="Header Char"/>
    <w:aliases w:val="page-number Char"/>
    <w:link w:val="Header"/>
    <w:uiPriority w:val="99"/>
    <w:rsid w:val="00050A8C"/>
  </w:style>
  <w:style w:type="table" w:styleId="TableGrid">
    <w:name w:val="Table Grid"/>
    <w:basedOn w:val="TableNormal"/>
    <w:uiPriority w:val="59"/>
    <w:rsid w:val="00050A8C"/>
    <w:rPr>
      <w:rFonts w:eastAsia="SimSu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50A8C"/>
  </w:style>
  <w:style w:type="character" w:styleId="UnresolvedMention">
    <w:name w:val="Unresolved Mention"/>
    <w:uiPriority w:val="99"/>
    <w:semiHidden/>
    <w:unhideWhenUsed/>
    <w:rsid w:val="00B038B9"/>
    <w:rPr>
      <w:color w:val="605E5C"/>
      <w:shd w:val="clear" w:color="auto" w:fill="E1DFDD"/>
    </w:rPr>
  </w:style>
  <w:style w:type="paragraph" w:customStyle="1" w:styleId="Els-Affiliation">
    <w:name w:val="Els-Affiliation"/>
    <w:next w:val="Normal"/>
    <w:autoRedefine/>
    <w:rsid w:val="00B038B9"/>
    <w:pPr>
      <w:pBdr>
        <w:bottom w:val="single" w:sz="2" w:space="1" w:color="auto"/>
      </w:pBdr>
      <w:suppressAutoHyphens/>
      <w:spacing w:line="230" w:lineRule="exact"/>
    </w:pPr>
    <w:rPr>
      <w:rFonts w:eastAsia="SimSun"/>
      <w:i/>
      <w:noProof/>
      <w:sz w:val="16"/>
    </w:rPr>
  </w:style>
  <w:style w:type="paragraph" w:customStyle="1" w:styleId="Els-Author">
    <w:name w:val="Els-Author"/>
    <w:next w:val="Normal"/>
    <w:autoRedefine/>
    <w:rsid w:val="00B038B9"/>
    <w:pPr>
      <w:keepNext/>
      <w:tabs>
        <w:tab w:val="center" w:pos="5189"/>
        <w:tab w:val="left" w:pos="9525"/>
      </w:tabs>
      <w:suppressAutoHyphens/>
      <w:spacing w:after="180" w:line="300" w:lineRule="exact"/>
      <w:jc w:val="both"/>
    </w:pPr>
    <w:rPr>
      <w:rFonts w:eastAsia="SimSun"/>
      <w:b/>
      <w: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dobe.com/support/downloads/pdrvwin.htm" TargetMode="Externa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urnal.iisglobal.org/submit-paper" TargetMode="Externa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http://www.atm.com" TargetMode="External"/><Relationship Id="rId10" Type="http://schemas.openxmlformats.org/officeDocument/2006/relationships/image" Target="media/image1.w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adobe.com/support/downloads/" TargetMode="External"/><Relationship Id="rId14" Type="http://schemas.openxmlformats.org/officeDocument/2006/relationships/hyperlink" Target="http://www.(UR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4062</Words>
  <Characters>23154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27162</CharactersWithSpaces>
  <SharedDoc>false</SharedDoc>
  <HLinks>
    <vt:vector size="36" baseType="variant">
      <vt:variant>
        <vt:i4>6160457</vt:i4>
      </vt:variant>
      <vt:variant>
        <vt:i4>21</vt:i4>
      </vt:variant>
      <vt:variant>
        <vt:i4>0</vt:i4>
      </vt:variant>
      <vt:variant>
        <vt:i4>5</vt:i4>
      </vt:variant>
      <vt:variant>
        <vt:lpwstr>http://www.(url/</vt:lpwstr>
      </vt:variant>
      <vt:variant>
        <vt:lpwstr/>
      </vt:variant>
      <vt:variant>
        <vt:i4>2687077</vt:i4>
      </vt:variant>
      <vt:variant>
        <vt:i4>18</vt:i4>
      </vt:variant>
      <vt:variant>
        <vt:i4>0</vt:i4>
      </vt:variant>
      <vt:variant>
        <vt:i4>5</vt:i4>
      </vt:variant>
      <vt:variant>
        <vt:lpwstr>http://www.atm.com/</vt:lpwstr>
      </vt:variant>
      <vt:variant>
        <vt:lpwstr/>
      </vt:variant>
      <vt:variant>
        <vt:i4>6160457</vt:i4>
      </vt:variant>
      <vt:variant>
        <vt:i4>15</vt:i4>
      </vt:variant>
      <vt:variant>
        <vt:i4>0</vt:i4>
      </vt:variant>
      <vt:variant>
        <vt:i4>5</vt:i4>
      </vt:variant>
      <vt:variant>
        <vt:lpwstr>http://www.(url/</vt:lpwstr>
      </vt:variant>
      <vt:variant>
        <vt:lpwstr/>
      </vt:variant>
      <vt:variant>
        <vt:i4>3866730</vt:i4>
      </vt:variant>
      <vt:variant>
        <vt:i4>6</vt:i4>
      </vt:variant>
      <vt:variant>
        <vt:i4>0</vt:i4>
      </vt:variant>
      <vt:variant>
        <vt:i4>5</vt:i4>
      </vt:variant>
      <vt:variant>
        <vt:lpwstr>http://www.adobe.com/support/downloads/</vt:lpwstr>
      </vt:variant>
      <vt:variant>
        <vt:lpwstr/>
      </vt:variant>
      <vt:variant>
        <vt:i4>2424932</vt:i4>
      </vt:variant>
      <vt:variant>
        <vt:i4>3</vt:i4>
      </vt:variant>
      <vt:variant>
        <vt:i4>0</vt:i4>
      </vt:variant>
      <vt:variant>
        <vt:i4>5</vt:i4>
      </vt:variant>
      <vt:variant>
        <vt:lpwstr>http://www.adobe.com/support/downloads/pdrvwin.htm</vt:lpwstr>
      </vt:variant>
      <vt:variant>
        <vt:lpwstr/>
      </vt:variant>
      <vt:variant>
        <vt:i4>2031701</vt:i4>
      </vt:variant>
      <vt:variant>
        <vt:i4>0</vt:i4>
      </vt:variant>
      <vt:variant>
        <vt:i4>0</vt:i4>
      </vt:variant>
      <vt:variant>
        <vt:i4>5</vt:i4>
      </vt:variant>
      <vt:variant>
        <vt:lpwstr>http://www.ieee.org/web/publications/authors/transjnl/index.html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Siddhant Bhandari</cp:lastModifiedBy>
  <cp:revision>2</cp:revision>
  <cp:lastPrinted>2009-10-28T19:17:00Z</cp:lastPrinted>
  <dcterms:created xsi:type="dcterms:W3CDTF">2026-08-12T21:59:00Z</dcterms:created>
  <dcterms:modified xsi:type="dcterms:W3CDTF">2026-08-12T21:59:00Z</dcterms:modified>
</cp:coreProperties>
</file>